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134801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24735A" w:rsidRDefault="00947A01" w:rsidP="00947A01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Dr. </w:t>
            </w:r>
            <w:proofErr w:type="spellStart"/>
            <w:r w:rsidRPr="00947A01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Hayder</w:t>
            </w:r>
            <w:proofErr w:type="spellEnd"/>
            <w:r w:rsidRPr="00947A01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A.K. Al </w:t>
            </w:r>
            <w:proofErr w:type="spellStart"/>
            <w:r w:rsidRPr="00947A01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Thamiry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134801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6C23C7" w:rsidP="0093674D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proofErr w:type="spellStart"/>
              <w:r w:rsidR="00947A01" w:rsidRPr="00947A01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hy</w:t>
              </w:r>
              <w:proofErr w:type="spellEnd"/>
              <w:r w:rsidR="0093674D" w:rsidRPr="0093674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_</w:t>
              </w:r>
              <w:proofErr w:type="spellStart"/>
              <w:r w:rsidR="0093674D" w:rsidRPr="0093674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Hyder</w:t>
              </w:r>
              <w:proofErr w:type="spellEnd"/>
              <w:r w:rsidR="0093674D" w:rsidRPr="0093674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947A01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134801">
        <w:tc>
          <w:tcPr>
            <w:tcW w:w="7044" w:type="dxa"/>
            <w:vAlign w:val="center"/>
          </w:tcPr>
          <w:p w:rsidR="0024735A" w:rsidRPr="00FA0528" w:rsidRDefault="00BB000E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استاذ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مساعد</w:t>
            </w:r>
            <w:r w:rsidR="00134801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دكتور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134801">
        <w:tc>
          <w:tcPr>
            <w:tcW w:w="7044" w:type="dxa"/>
            <w:vAlign w:val="center"/>
          </w:tcPr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Hydrological Modeling of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AsSanna’f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</w:t>
            </w: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Developing Flood Discharge Capacity of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Kmait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River</w:t>
            </w: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  <w:p w:rsidR="00947A01" w:rsidRP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Hydrological Damage of Iranian Separation Dike on the Iraqi Part of Al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Huweizah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 </w:t>
            </w:r>
          </w:p>
          <w:p w:rsidR="00947A01" w:rsidRP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Modeling the Evolution of Incised Streams in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Hammar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Mesopotamian Marsh with emphasis on the Contribution of Tidal Flow in the Filling Requirements</w:t>
            </w:r>
            <w:r w:rsidRPr="00947A01"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4735A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Estimation of Runoff for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Goizha-Dabashan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Watershed with Aid of Remote Sensing Techniques</w:t>
            </w:r>
          </w:p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Hydraulic and Statistical Analyses of Design Emission Uniformity of Trickle Irrigation Systems</w:t>
            </w:r>
          </w:p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Hydraulic Study of Minimizing Energy Consumption in Storm Water Pumping Station Suction Side</w:t>
            </w:r>
          </w:p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Salinity Variation of Euphrates River between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Ashshinnafiyah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Assamawa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Cities</w:t>
            </w:r>
          </w:p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Operation of the Iraqi Part of Al-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Huweizah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</w:t>
            </w:r>
          </w:p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Evaluation of Local Scour Development Around Curved Non-Submerged Impermeable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Groynes</w:t>
            </w:r>
            <w:proofErr w:type="spellEnd"/>
          </w:p>
          <w:p w:rsidR="00947A01" w:rsidRPr="00FA3DD9" w:rsidRDefault="00947A01" w:rsidP="00947A01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Two – Dimensional Mathematical Model to Study Erosion Problem of Tigris River Banks at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Nu’maniyah</w:t>
            </w:r>
            <w:proofErr w:type="spellEnd"/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</w:t>
            </w:r>
            <w:bookmarkStart w:id="0" w:name="_GoBack"/>
            <w:bookmarkEnd w:id="0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ورة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34801">
        <w:trPr>
          <w:trHeight w:val="2400"/>
        </w:trPr>
        <w:tc>
          <w:tcPr>
            <w:tcW w:w="3539" w:type="dxa"/>
          </w:tcPr>
          <w:p w:rsidR="001D57A8" w:rsidRDefault="00947A01" w:rsidP="00947A0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2D077C" wp14:editId="4784F265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95885</wp:posOffset>
                  </wp:positionV>
                  <wp:extent cx="1064260" cy="1407795"/>
                  <wp:effectExtent l="57150" t="57150" r="116840" b="116205"/>
                  <wp:wrapSquare wrapText="bothSides"/>
                  <wp:docPr id="2" name="Picture 2" descr="P-Hay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-Hay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0" t="3387" r="11267" b="8577"/>
                          <a:stretch/>
                        </pic:blipFill>
                        <pic:spPr bwMode="auto">
                          <a:xfrm>
                            <a:off x="0" y="0"/>
                            <a:ext cx="1064260" cy="140779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D04276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D04276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D04276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Pr="00D04276" w:rsidRDefault="00D04276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D04276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حيدر عبدالامير الثامري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6A300A" w:rsidRDefault="00947A01" w:rsidP="00134801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Hydraulic Analysis of the Samarra-Al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Tharthar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System</w:t>
            </w:r>
          </w:p>
          <w:p w:rsidR="00947A01" w:rsidRDefault="00947A01" w:rsidP="00947A0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Investigating the Setting of the Entrance of Multiple Vertical Suction Pipes in Storm Water Pump Station</w:t>
            </w:r>
          </w:p>
          <w:p w:rsidR="00947A01" w:rsidRPr="006A300A" w:rsidRDefault="00947A01" w:rsidP="00947A01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Possibility of reusing Al-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Machraya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River for feeding </w:t>
            </w:r>
            <w:proofErr w:type="spellStart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Hawizeh</w:t>
            </w:r>
            <w:proofErr w:type="spellEnd"/>
            <w:r w:rsidRPr="00947A01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FA0528" w:rsidRDefault="00947A01" w:rsidP="006A300A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947A01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حقول هندسة الموارد المائية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5340DE" w:rsidRDefault="00947A01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احدى عشر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134801" w:rsidRDefault="00134801" w:rsidP="00134801"/>
    <w:p w:rsidR="00134801" w:rsidRDefault="00134801">
      <w:r>
        <w:br w:type="page"/>
      </w:r>
    </w:p>
    <w:p w:rsidR="005708B2" w:rsidRPr="00134801" w:rsidRDefault="00134801" w:rsidP="00134801">
      <w:pPr>
        <w:jc w:val="right"/>
        <w:rPr>
          <w:sz w:val="32"/>
          <w:szCs w:val="32"/>
          <w:lang w:bidi="ar-IQ"/>
        </w:rPr>
      </w:pPr>
      <w:r>
        <w:rPr>
          <w:rFonts w:ascii="Hacen Saudi Arabia" w:hAnsi="Hacen Saudi Arabia" w:cs="Hacen Saudi Arabia" w:hint="cs"/>
          <w:sz w:val="32"/>
          <w:szCs w:val="32"/>
          <w:rtl/>
          <w:lang w:bidi="ar-IQ"/>
        </w:rPr>
        <w:lastRenderedPageBreak/>
        <w:t>ال</w:t>
      </w:r>
      <w:r w:rsidRPr="00134801">
        <w:rPr>
          <w:rFonts w:ascii="Hacen Saudi Arabia" w:hAnsi="Hacen Saudi Arabia" w:cs="Hacen Saudi Arabia"/>
          <w:sz w:val="32"/>
          <w:szCs w:val="32"/>
          <w:rtl/>
          <w:lang w:bidi="ar-IQ"/>
        </w:rPr>
        <w:t>دراسات</w:t>
      </w:r>
    </w:p>
    <w:tbl>
      <w:tblPr>
        <w:bidiVisual/>
        <w:tblW w:w="890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2"/>
        <w:gridCol w:w="3465"/>
        <w:gridCol w:w="4207"/>
        <w:gridCol w:w="567"/>
      </w:tblGrid>
      <w:tr w:rsidR="00134801" w:rsidRPr="00C3296E" w:rsidTr="00134801">
        <w:trPr>
          <w:trHeight w:val="412"/>
        </w:trPr>
        <w:tc>
          <w:tcPr>
            <w:tcW w:w="662" w:type="dxa"/>
            <w:shd w:val="clear" w:color="auto" w:fill="BDD6EE" w:themeFill="accent1" w:themeFillTint="66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34801">
              <w:rPr>
                <w:rFonts w:asciiTheme="minorBidi" w:hAnsiTheme="min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465" w:type="dxa"/>
            <w:shd w:val="clear" w:color="auto" w:fill="BDD6EE" w:themeFill="accent1" w:themeFillTint="66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34801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Beneficiary</w:t>
            </w:r>
          </w:p>
        </w:tc>
        <w:tc>
          <w:tcPr>
            <w:tcW w:w="4207" w:type="dxa"/>
            <w:shd w:val="clear" w:color="auto" w:fill="BDD6EE" w:themeFill="accent1" w:themeFillTint="66"/>
            <w:vAlign w:val="center"/>
          </w:tcPr>
          <w:p w:rsidR="00134801" w:rsidRPr="00134801" w:rsidRDefault="00134801" w:rsidP="00134801">
            <w:pPr>
              <w:spacing w:after="0" w:line="240" w:lineRule="auto"/>
              <w:ind w:right="21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34801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34801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2007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 xml:space="preserve">Restoration of Ecological System of Al- 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Hammar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>, Al-Quanah and Al-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Huweizah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Marshes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2009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Baghdad Governorate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 xml:space="preserve">Updating of the French study which concerns reclamation of Al 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Nahrawan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area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134801" w:rsidRPr="00C3296E" w:rsidTr="00134801">
        <w:trPr>
          <w:trHeight w:val="1346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2008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The Center for the Restoration of Iraqi Marsh lands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 xml:space="preserve">The Hydrological and Ecological Effect for the construction Of an earth dyke by the Iranian administration to separate the part of Al 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Huweizah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marsh which is located within the Iranian Territories</w:t>
            </w:r>
          </w:p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2005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Water Recourses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Diyala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Weir and the Problem of Scouring Downstream of the Structure and the Suggested Treatments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2006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Water Recourses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Two-dimensional hydraulic model of Al–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Massad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Dam 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2010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The Center for the Restoration of Iraqi Marsh lands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 xml:space="preserve">Possibility of Using the Water Of The Main Outfall Drain To Restore Al 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Hammar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Marsh After Operating The Pumping Station In Al 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Nassiriyah</w:t>
            </w:r>
            <w:proofErr w:type="spellEnd"/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2011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Water Recourses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Main Outfall Drain Water Treatment Study-Central Iraq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Water Recourses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Tigris And Euphrates Sampling Study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2011</w:t>
            </w:r>
          </w:p>
        </w:tc>
        <w:tc>
          <w:tcPr>
            <w:tcW w:w="3465" w:type="dxa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Water Recourses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Lakes Testing Study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2011</w:t>
            </w:r>
          </w:p>
        </w:tc>
        <w:tc>
          <w:tcPr>
            <w:tcW w:w="3465" w:type="dxa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Water Recourses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Shatt Al Arab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2012</w:t>
            </w:r>
          </w:p>
        </w:tc>
        <w:tc>
          <w:tcPr>
            <w:tcW w:w="3465" w:type="dxa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Water Recourses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The Study of Border Crossing Rivers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2014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Center for the Restoration of Iraqi Marsh lands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 xml:space="preserve">The Implementation Of The Technology Of Using Plants To Treat The Water Of The Main Outfall Drain In Al </w:t>
            </w: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Khamissiya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Canal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2017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Electricity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ind w:left="69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Samawa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combined cycle power plant - Hydrological study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</w:tr>
      <w:tr w:rsidR="00134801" w:rsidRPr="00C3296E" w:rsidTr="00134801">
        <w:trPr>
          <w:trHeight w:val="20"/>
        </w:trPr>
        <w:tc>
          <w:tcPr>
            <w:tcW w:w="662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2017</w:t>
            </w:r>
          </w:p>
        </w:tc>
        <w:tc>
          <w:tcPr>
            <w:tcW w:w="3465" w:type="dxa"/>
            <w:vAlign w:val="center"/>
          </w:tcPr>
          <w:p w:rsidR="00134801" w:rsidRPr="00134801" w:rsidRDefault="00134801" w:rsidP="00134801">
            <w:pPr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34801">
              <w:rPr>
                <w:rFonts w:asciiTheme="minorBidi" w:hAnsiTheme="minorBidi"/>
                <w:sz w:val="24"/>
                <w:szCs w:val="24"/>
              </w:rPr>
              <w:t>Ministry of Electricity</w:t>
            </w:r>
          </w:p>
        </w:tc>
        <w:tc>
          <w:tcPr>
            <w:tcW w:w="4207" w:type="dxa"/>
            <w:vAlign w:val="center"/>
          </w:tcPr>
          <w:p w:rsidR="00134801" w:rsidRPr="00134801" w:rsidRDefault="00134801" w:rsidP="001348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134801">
              <w:rPr>
                <w:rFonts w:asciiTheme="minorBidi" w:hAnsiTheme="minorBidi"/>
                <w:sz w:val="24"/>
                <w:szCs w:val="24"/>
              </w:rPr>
              <w:t>DhiQar</w:t>
            </w:r>
            <w:proofErr w:type="spellEnd"/>
            <w:r w:rsidRPr="00134801">
              <w:rPr>
                <w:rFonts w:asciiTheme="minorBidi" w:hAnsiTheme="minorBidi"/>
                <w:sz w:val="24"/>
                <w:szCs w:val="24"/>
              </w:rPr>
              <w:t xml:space="preserve"> combined cycle power plant - Hydrological study</w:t>
            </w:r>
          </w:p>
        </w:tc>
        <w:tc>
          <w:tcPr>
            <w:tcW w:w="567" w:type="dxa"/>
            <w:vAlign w:val="center"/>
          </w:tcPr>
          <w:p w:rsidR="00134801" w:rsidRPr="00134801" w:rsidRDefault="00134801" w:rsidP="00E93F8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</w:tr>
    </w:tbl>
    <w:p w:rsidR="00134801" w:rsidRPr="00FA3DD9" w:rsidRDefault="00134801" w:rsidP="00134801">
      <w:pPr>
        <w:ind w:left="-567"/>
      </w:pPr>
    </w:p>
    <w:sectPr w:rsidR="00134801" w:rsidRPr="00FA3DD9" w:rsidSect="00134801">
      <w:headerReference w:type="default" r:id="rId10"/>
      <w:pgSz w:w="11906" w:h="16838"/>
      <w:pgMar w:top="1588" w:right="991" w:bottom="1440" w:left="851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C7" w:rsidRDefault="006C23C7" w:rsidP="00170E2F">
      <w:pPr>
        <w:spacing w:after="0" w:line="240" w:lineRule="auto"/>
      </w:pPr>
      <w:r>
        <w:separator/>
      </w:r>
    </w:p>
  </w:endnote>
  <w:endnote w:type="continuationSeparator" w:id="0">
    <w:p w:rsidR="006C23C7" w:rsidRDefault="006C23C7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C7" w:rsidRDefault="006C23C7" w:rsidP="00170E2F">
      <w:pPr>
        <w:spacing w:after="0" w:line="240" w:lineRule="auto"/>
      </w:pPr>
      <w:r>
        <w:separator/>
      </w:r>
    </w:p>
  </w:footnote>
  <w:footnote w:type="continuationSeparator" w:id="0">
    <w:p w:rsidR="006C23C7" w:rsidRDefault="006C23C7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4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34801"/>
    <w:rsid w:val="00140F43"/>
    <w:rsid w:val="00170E2F"/>
    <w:rsid w:val="001A5D7C"/>
    <w:rsid w:val="001D57A8"/>
    <w:rsid w:val="0024735A"/>
    <w:rsid w:val="003805FC"/>
    <w:rsid w:val="005340DE"/>
    <w:rsid w:val="005A2B81"/>
    <w:rsid w:val="006A300A"/>
    <w:rsid w:val="006C23C7"/>
    <w:rsid w:val="007607B5"/>
    <w:rsid w:val="007D0FBF"/>
    <w:rsid w:val="00871F29"/>
    <w:rsid w:val="008B1697"/>
    <w:rsid w:val="0093674D"/>
    <w:rsid w:val="00947A01"/>
    <w:rsid w:val="00A4329C"/>
    <w:rsid w:val="00BB000E"/>
    <w:rsid w:val="00D00463"/>
    <w:rsid w:val="00D04276"/>
    <w:rsid w:val="00DD12AE"/>
    <w:rsid w:val="00DE7869"/>
    <w:rsid w:val="00E71B3F"/>
    <w:rsid w:val="00EB2C9B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8544-3399-411E-ACBE-2D605E9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5</cp:revision>
  <dcterms:created xsi:type="dcterms:W3CDTF">2019-03-08T16:31:00Z</dcterms:created>
  <dcterms:modified xsi:type="dcterms:W3CDTF">2019-03-09T20:35:00Z</dcterms:modified>
</cp:coreProperties>
</file>