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CF5489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5402FC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5402FC" w:rsidRPr="00FB47B4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5402FC" w:rsidRPr="00EB7C5F" w:rsidRDefault="005402FC" w:rsidP="00CF5489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402FC" w:rsidRPr="00FB47B4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CF5489">
        <w:trPr>
          <w:trHeight w:val="1602"/>
        </w:trPr>
        <w:tc>
          <w:tcPr>
            <w:tcW w:w="9720" w:type="dxa"/>
            <w:shd w:val="clear" w:color="auto" w:fill="A7BFDE"/>
          </w:tcPr>
          <w:p w:rsidR="005402FC" w:rsidRPr="009F395E" w:rsidRDefault="00360480" w:rsidP="00CF548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360480">
              <w:rPr>
                <w:rFonts w:cs="Times New Roman"/>
                <w:color w:val="000000"/>
                <w:sz w:val="28"/>
                <w:szCs w:val="28"/>
                <w:lang w:bidi="ar-IQ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ross-referenced with the progra</w:t>
            </w:r>
            <w:r w:rsidRPr="00360480">
              <w:rPr>
                <w:rFonts w:cs="Times New Roman"/>
                <w:color w:val="000000"/>
                <w:sz w:val="28"/>
                <w:szCs w:val="28"/>
                <w:lang w:bidi="ar-IQ"/>
              </w:rPr>
              <w:t>m specification.</w:t>
            </w:r>
          </w:p>
        </w:tc>
      </w:tr>
    </w:tbl>
    <w:p w:rsidR="005402FC" w:rsidRPr="00FB4E69" w:rsidRDefault="005402FC" w:rsidP="005402FC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College of Engineering </w:t>
            </w:r>
          </w:p>
          <w:p w:rsidR="005402FC" w:rsidRPr="00FB47B4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2D7200" w:rsidRDefault="007424DE" w:rsidP="00C103F6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7424DE">
              <w:rPr>
                <w:rFonts w:cs="Times New Roman"/>
                <w:sz w:val="28"/>
                <w:szCs w:val="28"/>
                <w:lang w:bidi="ar-IQ"/>
              </w:rPr>
              <w:t>Internal Combustion Engines</w:t>
            </w:r>
            <w:r w:rsidR="00C103F6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Pr="007424DE">
              <w:rPr>
                <w:rFonts w:cs="Times New Roman"/>
                <w:sz w:val="28"/>
                <w:szCs w:val="28"/>
                <w:lang w:bidi="ar-IQ"/>
              </w:rPr>
              <w:t>ME404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CB1614" w:rsidRDefault="005402FC" w:rsidP="00CF5489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Programme(s) to which it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C103F6" w:rsidRDefault="00C103F6" w:rsidP="00C103F6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C103F6">
              <w:rPr>
                <w:rFonts w:cs="Times New Roman"/>
                <w:sz w:val="28"/>
                <w:szCs w:val="28"/>
                <w:lang w:bidi="ar-IQ"/>
              </w:rPr>
              <w:t>Full time</w:t>
            </w:r>
            <w:r w:rsidR="00CB1614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CB1614" w:rsidRPr="00CB1614">
              <w:rPr>
                <w:rFonts w:cs="Times New Roman"/>
                <w:sz w:val="28"/>
                <w:szCs w:val="28"/>
                <w:lang w:bidi="ar-IQ"/>
              </w:rPr>
              <w:t>campus attendance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5402FC" w:rsidRPr="00FB47B4" w:rsidTr="00CF5489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5402FC" w:rsidRPr="00C103F6" w:rsidRDefault="00C103F6" w:rsidP="00C103F6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C103F6">
              <w:rPr>
                <w:rFonts w:cs="Times New Roman"/>
                <w:sz w:val="28"/>
                <w:szCs w:val="28"/>
                <w:lang w:bidi="ar-IQ"/>
              </w:rPr>
              <w:t>2017/2018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5402FC" w:rsidRPr="00FB47B4" w:rsidTr="00CF5489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C103F6" w:rsidRDefault="00C103F6" w:rsidP="00C103F6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C103F6"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C103F6" w:rsidRDefault="00C103F6" w:rsidP="00C103F6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C103F6">
              <w:rPr>
                <w:rFonts w:cs="Times New Roman"/>
                <w:sz w:val="28"/>
                <w:szCs w:val="28"/>
                <w:lang w:bidi="ar-IQ"/>
              </w:rPr>
              <w:t>20/10/2017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5402FC" w:rsidRPr="00FB47B4" w:rsidTr="00CF5489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402FC" w:rsidRPr="007A526A" w:rsidRDefault="005402FC" w:rsidP="00CF54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52205F" w:rsidRPr="009F395E" w:rsidTr="009C3492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4D6F27" w:rsidRDefault="004D6F27" w:rsidP="00CA149F">
            <w:pPr>
              <w:tabs>
                <w:tab w:val="left" w:pos="1826"/>
              </w:tabs>
              <w:bidi w:val="0"/>
              <w:spacing w:line="36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52205F" w:rsidRPr="005C4C1E" w:rsidRDefault="0052205F" w:rsidP="00A17B66">
            <w:pPr>
              <w:tabs>
                <w:tab w:val="left" w:pos="1826"/>
              </w:tabs>
              <w:bidi w:val="0"/>
              <w:spacing w:line="360" w:lineRule="auto"/>
              <w:jc w:val="both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1- </w:t>
            </w:r>
            <w:r w:rsidRPr="005C4C1E">
              <w:rPr>
                <w:rFonts w:cs="Akhbar MT"/>
                <w:sz w:val="28"/>
                <w:szCs w:val="28"/>
                <w:lang w:bidi="ar-IQ"/>
              </w:rPr>
              <w:t>Recognize the basic types of internal combustion engines</w:t>
            </w:r>
            <w:r w:rsidRPr="005C4C1E">
              <w:rPr>
                <w:rFonts w:cs="Akhbar MT"/>
                <w:sz w:val="28"/>
                <w:szCs w:val="28"/>
                <w:rtl/>
                <w:lang w:bidi="ar-IQ"/>
              </w:rPr>
              <w:t>.</w:t>
            </w:r>
          </w:p>
          <w:p w:rsidR="0052205F" w:rsidRPr="005C4C1E" w:rsidRDefault="0052205F" w:rsidP="00A17B66">
            <w:pPr>
              <w:tabs>
                <w:tab w:val="left" w:pos="1826"/>
              </w:tabs>
              <w:bidi w:val="0"/>
              <w:spacing w:line="360" w:lineRule="auto"/>
              <w:jc w:val="both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2- </w:t>
            </w:r>
            <w:r w:rsidRPr="005C4C1E">
              <w:rPr>
                <w:rFonts w:cs="Akhbar MT"/>
                <w:sz w:val="28"/>
                <w:szCs w:val="28"/>
                <w:lang w:bidi="ar-IQ"/>
              </w:rPr>
              <w:t>Estimate the performance of internal combustion engines</w:t>
            </w:r>
          </w:p>
          <w:p w:rsidR="0052205F" w:rsidRPr="005C4C1E" w:rsidRDefault="0052205F" w:rsidP="00A17B66">
            <w:pPr>
              <w:tabs>
                <w:tab w:val="left" w:pos="1826"/>
              </w:tabs>
              <w:bidi w:val="0"/>
              <w:spacing w:line="360" w:lineRule="auto"/>
              <w:jc w:val="both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3- </w:t>
            </w:r>
            <w:r w:rsidRPr="005C4C1E">
              <w:rPr>
                <w:rFonts w:cs="Akhbar MT"/>
                <w:sz w:val="28"/>
                <w:szCs w:val="28"/>
                <w:lang w:bidi="ar-IQ"/>
              </w:rPr>
              <w:t>Know the fundamental thermochemistry as applied to fuels</w:t>
            </w:r>
            <w:r w:rsidRPr="005C4C1E">
              <w:rPr>
                <w:rFonts w:cs="Akhbar MT"/>
                <w:sz w:val="28"/>
                <w:szCs w:val="28"/>
                <w:rtl/>
                <w:lang w:bidi="ar-IQ"/>
              </w:rPr>
              <w:t>.</w:t>
            </w:r>
          </w:p>
          <w:p w:rsidR="0052205F" w:rsidRPr="005C4C1E" w:rsidRDefault="0052205F" w:rsidP="00A17B66">
            <w:pPr>
              <w:tabs>
                <w:tab w:val="left" w:pos="1826"/>
              </w:tabs>
              <w:bidi w:val="0"/>
              <w:spacing w:line="360" w:lineRule="auto"/>
              <w:jc w:val="both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4- </w:t>
            </w:r>
            <w:r w:rsidRPr="005C4C1E">
              <w:rPr>
                <w:rFonts w:cs="Akhbar MT"/>
                <w:sz w:val="28"/>
                <w:szCs w:val="28"/>
                <w:lang w:bidi="ar-IQ"/>
              </w:rPr>
              <w:t>Follow the various operational processes from intake to exhaust</w:t>
            </w:r>
            <w:r w:rsidRPr="005C4C1E">
              <w:rPr>
                <w:rFonts w:cs="Akhbar MT"/>
                <w:sz w:val="28"/>
                <w:szCs w:val="28"/>
                <w:rtl/>
                <w:lang w:bidi="ar-IQ"/>
              </w:rPr>
              <w:t>.</w:t>
            </w:r>
          </w:p>
          <w:p w:rsidR="00CA149F" w:rsidRPr="00E82877" w:rsidRDefault="0052205F" w:rsidP="00A17B66">
            <w:pPr>
              <w:tabs>
                <w:tab w:val="left" w:pos="1826"/>
              </w:tabs>
              <w:bidi w:val="0"/>
              <w:spacing w:line="360" w:lineRule="auto"/>
              <w:jc w:val="both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5- </w:t>
            </w:r>
            <w:r w:rsidRPr="005C4C1E">
              <w:rPr>
                <w:rFonts w:cs="Akhbar MT"/>
                <w:sz w:val="28"/>
                <w:szCs w:val="28"/>
                <w:lang w:bidi="ar-IQ"/>
              </w:rPr>
              <w:t>Be familiar with cooling and lubrication systems.</w:t>
            </w:r>
          </w:p>
        </w:tc>
      </w:tr>
    </w:tbl>
    <w:p w:rsidR="005402FC" w:rsidRPr="009F395E" w:rsidRDefault="005402FC" w:rsidP="005402FC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FB47B4" w:rsidTr="00CF5489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5402FC" w:rsidRPr="00FB47B4" w:rsidTr="00CF5489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5402FC" w:rsidRPr="00A17B66" w:rsidRDefault="005402FC" w:rsidP="00CF5489">
            <w:pPr>
              <w:bidi w:val="0"/>
              <w:spacing w:before="240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At the end of the class, the student will be able to:</w:t>
            </w:r>
          </w:p>
          <w:p w:rsidR="00A17B66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Differentiate among different internal combustion engine designs</w:t>
            </w:r>
          </w:p>
          <w:p w:rsidR="00A17B66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Recognize and understand reasons for differences among operating characteristics of different engine types and designs</w:t>
            </w:r>
          </w:p>
          <w:p w:rsidR="00A17B66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Given an engine design specification, predict performance and fuel economy trends with good accuracy</w:t>
            </w:r>
          </w:p>
          <w:p w:rsidR="00A17B66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Based on an in-depth analysis of the combustion process, predict concentrations of primary exhaust pollutants</w:t>
            </w:r>
          </w:p>
          <w:p w:rsidR="00A17B66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Exposure to the engineering systems needed to set-up and run engines in controlled laboratory environments</w:t>
            </w:r>
          </w:p>
          <w:p w:rsidR="00A17B66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Develop skills to run engine dynamometer experiments</w:t>
            </w:r>
          </w:p>
          <w:p w:rsidR="00A17B66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Learn to compare and contrast experimental results with theoretical trends, and to attribute observed discrepancies to either measurement error or modeling limitations</w:t>
            </w:r>
          </w:p>
          <w:p w:rsidR="00A17B66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Develop an understanding of real world engine design issues</w:t>
            </w:r>
          </w:p>
          <w:p w:rsidR="00A17B66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Develop an ability to optimize future engine designs for specific sets of constraints (fuel economy, performance, emissions)</w:t>
            </w:r>
          </w:p>
          <w:p w:rsidR="005402FC" w:rsidRPr="00A17B66" w:rsidRDefault="00A17B66" w:rsidP="00A17B6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cs="Akhbar MT"/>
                <w:sz w:val="28"/>
                <w:szCs w:val="28"/>
                <w:lang w:bidi="ar-IQ"/>
              </w:rPr>
            </w:pPr>
            <w:r w:rsidRPr="00A17B66">
              <w:rPr>
                <w:rFonts w:cs="Akhbar MT"/>
                <w:sz w:val="28"/>
                <w:szCs w:val="28"/>
                <w:lang w:bidi="ar-IQ"/>
              </w:rPr>
              <w:t>Through the use of both theoretical techniques and experimentation, develop an appreciation for theoretical and practical limits to engine performance and fuel economy</w:t>
            </w:r>
            <w:r>
              <w:rPr>
                <w:rFonts w:cs="Akhbar MT"/>
                <w:sz w:val="28"/>
                <w:szCs w:val="28"/>
                <w:lang w:bidi="ar-IQ"/>
              </w:rPr>
              <w:t>.</w:t>
            </w:r>
          </w:p>
        </w:tc>
      </w:tr>
      <w:tr w:rsidR="005402FC" w:rsidRPr="00FB47B4" w:rsidTr="00CF5489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CF548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5402FC" w:rsidRPr="00FB47B4" w:rsidTr="00CF548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17B66" w:rsidRPr="009610EB" w:rsidRDefault="00A17B66" w:rsidP="009610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610EB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Lectures, exercises, project </w:t>
            </w:r>
            <w:r w:rsidR="005962C4" w:rsidRPr="009610EB">
              <w:rPr>
                <w:rFonts w:cs="Times New Roman"/>
                <w:color w:val="000000"/>
                <w:sz w:val="28"/>
                <w:szCs w:val="28"/>
                <w:lang w:bidi="ar-IQ"/>
              </w:rPr>
              <w:t>work, lecturing</w:t>
            </w:r>
            <w:r w:rsidRPr="009610EB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in English language.</w:t>
            </w:r>
          </w:p>
          <w:p w:rsidR="00A17B66" w:rsidRPr="009610EB" w:rsidRDefault="00A17B66" w:rsidP="009610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610EB">
              <w:rPr>
                <w:rFonts w:cs="Times New Roman"/>
                <w:color w:val="000000"/>
                <w:sz w:val="28"/>
                <w:szCs w:val="28"/>
                <w:lang w:bidi="ar-IQ"/>
              </w:rPr>
              <w:t>Compulsory assignments</w:t>
            </w:r>
          </w:p>
          <w:p w:rsidR="005402FC" w:rsidRPr="009610EB" w:rsidRDefault="00A17B66" w:rsidP="009610E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610EB">
              <w:rPr>
                <w:rFonts w:cs="Times New Roman"/>
                <w:color w:val="000000"/>
                <w:sz w:val="28"/>
                <w:szCs w:val="28"/>
                <w:lang w:bidi="ar-IQ"/>
              </w:rPr>
              <w:t>Exercises</w:t>
            </w:r>
          </w:p>
          <w:p w:rsidR="005402FC" w:rsidRPr="00FB47B4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402FC" w:rsidRPr="00FB47B4" w:rsidTr="00CF5489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CF548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</w:tc>
      </w:tr>
      <w:tr w:rsidR="005402FC" w:rsidRPr="00FB47B4" w:rsidTr="00CF548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402FC" w:rsidRPr="00A96A4D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5402FC" w:rsidRPr="00ED63FD" w:rsidRDefault="00B760C3" w:rsidP="00B760C3">
            <w:p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B760C3">
              <w:rPr>
                <w:rFonts w:cs="Times New Roman"/>
                <w:color w:val="000000"/>
                <w:sz w:val="28"/>
                <w:szCs w:val="28"/>
                <w:lang w:bidi="ar-IQ"/>
              </w:rPr>
              <w:t>A personal home work is asked on a topic chosen in a list.  The assessment consists i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n the personal home work (10%), a written examination (20%) and fina</w:t>
            </w:r>
            <w:r w:rsidRPr="00B760C3">
              <w:rPr>
                <w:rFonts w:cs="Times New Roman"/>
                <w:color w:val="000000"/>
                <w:sz w:val="28"/>
                <w:szCs w:val="28"/>
                <w:lang w:bidi="ar-IQ"/>
              </w:rPr>
              <w:t>l examination (35%).</w:t>
            </w:r>
          </w:p>
          <w:p w:rsidR="00B760C3" w:rsidRDefault="00B760C3" w:rsidP="00023A3C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02FC" w:rsidRPr="007F2555" w:rsidRDefault="005402FC" w:rsidP="00B760C3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5402FC" w:rsidRPr="0002531D" w:rsidRDefault="005402FC" w:rsidP="00CF5489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1EE7" w:rsidRDefault="00B760C3" w:rsidP="00B760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Homework, t</w:t>
            </w:r>
            <w:r w:rsidR="00451EE7" w:rsidRPr="00ED63FD">
              <w:rPr>
                <w:rFonts w:cs="Times New Roman"/>
                <w:color w:val="000000"/>
                <w:sz w:val="28"/>
                <w:szCs w:val="28"/>
                <w:lang w:bidi="ar-IQ"/>
              </w:rPr>
              <w:t>erm Tests</w:t>
            </w:r>
            <w:r w:rsidR="00451EE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quizzes 30 %</w:t>
            </w:r>
          </w:p>
          <w:p w:rsidR="00451EE7" w:rsidRPr="00ED63FD" w:rsidRDefault="00451EE7" w:rsidP="00451EE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Final exam 70 %</w:t>
            </w:r>
          </w:p>
          <w:p w:rsidR="005402FC" w:rsidRPr="00FB47B4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402FC" w:rsidRDefault="005402FC" w:rsidP="005402FC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5402FC" w:rsidRPr="00FB47B4" w:rsidTr="00CF5489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5402FC" w:rsidRPr="00F84663" w:rsidRDefault="005402FC" w:rsidP="00CF5489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5402FC" w:rsidRPr="00FB47B4" w:rsidTr="00CF5489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widowControl w:val="0"/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5402FC" w:rsidRPr="0001670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 xml:space="preserve">( </w:t>
            </w:r>
            <w:r w:rsidRPr="00016704">
              <w:rPr>
                <w:rFonts w:cs="Times New Roman"/>
                <w:color w:val="231F20"/>
                <w:sz w:val="24"/>
                <w:szCs w:val="24"/>
              </w:rPr>
              <w:t xml:space="preserve">Article 10 </w:t>
            </w:r>
            <w:r>
              <w:rPr>
                <w:rFonts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1A3E69" w:rsidRPr="00FB47B4" w:rsidTr="00CF5489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A3E69" w:rsidRPr="00FB47B4" w:rsidRDefault="004F7EC1" w:rsidP="001A3E6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A3E69" w:rsidRPr="00FB47B4" w:rsidRDefault="00D85161" w:rsidP="001A3E6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1A3E69" w:rsidRPr="001A3E69" w:rsidRDefault="001A3E69" w:rsidP="001A3E6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Principles of SI and CI engine operation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1A3E69" w:rsidRPr="00FB47B4" w:rsidRDefault="00E07CF6" w:rsidP="001A3E6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1A3E69" w:rsidRPr="001A3E69" w:rsidRDefault="001A3E69" w:rsidP="001A3E6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1A3E69" w:rsidRPr="00F445A1" w:rsidRDefault="001A3E69" w:rsidP="001A3E6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F7EC1" w:rsidRPr="009F395E" w:rsidTr="00B91962">
        <w:trPr>
          <w:trHeight w:val="339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2-stroke engines, 4-stroke engines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4F7EC1" w:rsidRPr="009F395E" w:rsidTr="00B91962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Engine Design and Operating Parameters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4F7EC1" w:rsidRPr="009F395E" w:rsidTr="00B91962">
        <w:trPr>
          <w:trHeight w:val="331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Air-Standard Cycles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4F7EC1" w:rsidRPr="009F395E" w:rsidTr="00B91962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Ideal standard cycles, thermal efficiencies, comparison, deviations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Classification of engine fuels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Characteristics of engine fuels, knock resistance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Ignition tendency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Combustion chemistry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Air excess ratio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Calorific value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Examination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Adiabatic flame temperature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3258AB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258AB">
              <w:rPr>
                <w:rFonts w:cs="Times New Roman"/>
                <w:sz w:val="24"/>
                <w:szCs w:val="24"/>
              </w:rPr>
              <w:t>Dissociation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3258AB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258AB">
              <w:rPr>
                <w:rFonts w:cs="Times New Roman"/>
                <w:sz w:val="24"/>
                <w:szCs w:val="24"/>
              </w:rPr>
              <w:t>Real engine strokes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3258AB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258AB">
              <w:rPr>
                <w:rFonts w:cs="Times New Roman"/>
                <w:sz w:val="24"/>
                <w:szCs w:val="24"/>
              </w:rPr>
              <w:t>Induction stroke, volumetric efficiency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3258AB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258AB">
              <w:rPr>
                <w:rFonts w:cs="Times New Roman"/>
                <w:sz w:val="24"/>
                <w:szCs w:val="24"/>
              </w:rPr>
              <w:t>Half – year break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3258AB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258AB">
              <w:rPr>
                <w:rFonts w:cs="Times New Roman"/>
                <w:sz w:val="24"/>
                <w:szCs w:val="24"/>
              </w:rPr>
              <w:t>Examination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3258AB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258AB">
              <w:rPr>
                <w:rFonts w:cs="Times New Roman"/>
                <w:sz w:val="24"/>
                <w:szCs w:val="24"/>
              </w:rPr>
              <w:t>Compression stroke, combustion in SI engines and influencing parameters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3258AB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258AB">
              <w:rPr>
                <w:rFonts w:cs="Times New Roman"/>
                <w:sz w:val="24"/>
                <w:szCs w:val="24"/>
              </w:rPr>
              <w:t>Abnormal combustion, parameters influencing knock and early ignition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3258AB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258AB">
              <w:rPr>
                <w:rFonts w:cs="Times New Roman"/>
                <w:sz w:val="24"/>
                <w:szCs w:val="24"/>
              </w:rPr>
              <w:t>Combustion in CI engines, parameters influencing ignition delay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4F7EC1" w:rsidRPr="009F395E" w:rsidTr="00B91962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F00D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3258AB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258AB">
              <w:rPr>
                <w:rFonts w:cs="Times New Roman"/>
                <w:sz w:val="24"/>
                <w:szCs w:val="24"/>
              </w:rPr>
              <w:t>Expension and exhaust strokes, exhaust emissions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9F395E" w:rsidRDefault="004F7EC1" w:rsidP="004F7EC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1A3E69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1A3E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F445A1" w:rsidRDefault="004F7EC1" w:rsidP="004F7EC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4F7EC1" w:rsidRPr="004F7EC1" w:rsidTr="00D1185D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A08AB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EA3780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Mixture preparation in SI engines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F7EC1" w:rsidRPr="004F7EC1" w:rsidTr="00D1185D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A08AB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EA3780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Carburetor fundamentals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4F7EC1" w:rsidRPr="004F7EC1" w:rsidTr="00D1185D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A08AB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EA3780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Fuel injection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4F7EC1" w:rsidRPr="004F7EC1" w:rsidTr="00D1185D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A08AB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EA3780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Control of A/F ratio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4F7EC1" w:rsidRPr="004F7EC1" w:rsidTr="00D1185D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A08AB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EA3780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Fuel injection systems in Diesel engines, Atomization,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4F7EC1" w:rsidRPr="004F7EC1" w:rsidTr="00D1185D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A08AB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EA3780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Combustion chamber types in Diesel engines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4F7EC1" w:rsidRPr="004F7EC1" w:rsidTr="00D1185D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A08AB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EA3780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Engine characteristics and performance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4F7EC1" w:rsidRPr="004F7EC1" w:rsidTr="00D1185D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A08AB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F7EC1" w:rsidRPr="00D8516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EA3780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Review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F7EC1" w:rsidRPr="004F7EC1" w:rsidRDefault="004F7EC1" w:rsidP="004F7EC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F7E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5402FC" w:rsidRPr="004F7EC1" w:rsidRDefault="005402FC" w:rsidP="004F7EC1">
      <w:pPr>
        <w:shd w:val="clear" w:color="auto" w:fill="8DB3E2" w:themeFill="text2" w:themeFillTint="66"/>
        <w:tabs>
          <w:tab w:val="left" w:pos="642"/>
        </w:tabs>
        <w:autoSpaceDE w:val="0"/>
        <w:autoSpaceDN w:val="0"/>
        <w:bidi w:val="0"/>
        <w:adjustRightInd w:val="0"/>
        <w:jc w:val="center"/>
        <w:rPr>
          <w:rFonts w:cs="Times New Roman"/>
          <w:color w:val="000000"/>
          <w:sz w:val="28"/>
          <w:szCs w:val="28"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5402FC" w:rsidRPr="0054730D" w:rsidTr="00CF5489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B526A6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5402FC" w:rsidRPr="0054730D" w:rsidTr="00CF5489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5402FC" w:rsidRPr="00AA323B" w:rsidRDefault="005402FC" w:rsidP="00CF5489">
            <w:pPr>
              <w:shd w:val="clear" w:color="auto" w:fill="DBE5F1" w:themeFill="accent1" w:themeFillTint="33"/>
              <w:tabs>
                <w:tab w:val="left" w:pos="72"/>
              </w:tabs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726E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Textbook </w:t>
            </w:r>
          </w:p>
          <w:p w:rsidR="005402FC" w:rsidRPr="0095726E" w:rsidRDefault="00BE6352" w:rsidP="00BE6352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63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Heywood, J.B., Internal Combustion Engine Fundamentals, McGraw Hill Book Company, New York, 1988</w:t>
            </w:r>
          </w:p>
          <w:p w:rsidR="005402FC" w:rsidRPr="00BE6352" w:rsidRDefault="005402FC" w:rsidP="00AE70DB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BE63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BE6352" w:rsidRPr="00BE6352" w:rsidRDefault="00BE6352" w:rsidP="00BE6352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BE6352">
              <w:rPr>
                <w:rFonts w:asciiTheme="majorBidi" w:hAnsiTheme="majorBidi" w:cstheme="majorBidi"/>
                <w:sz w:val="28"/>
                <w:szCs w:val="28"/>
              </w:rPr>
              <w:t>Pulkrabek, W.W., Engineering Fundamentals of the Internal Combustion Engine, Prentice Hall, New Jersey, 1997.</w:t>
            </w:r>
          </w:p>
          <w:p w:rsidR="005402FC" w:rsidRPr="00BE6352" w:rsidRDefault="00BE6352" w:rsidP="00BE6352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BE6352">
              <w:rPr>
                <w:rFonts w:asciiTheme="majorBidi" w:hAnsiTheme="majorBidi" w:cstheme="majorBidi"/>
                <w:sz w:val="28"/>
                <w:szCs w:val="28"/>
              </w:rPr>
              <w:t>Stone, R., Introduction to Internal Combustion Engines, Macmillan, London, 1994.</w:t>
            </w:r>
          </w:p>
          <w:p w:rsidR="005402FC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A323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  <w:t>Others</w:t>
            </w:r>
          </w:p>
          <w:p w:rsidR="005402FC" w:rsidRPr="00AA323B" w:rsidRDefault="005402FC" w:rsidP="005402FC">
            <w:pPr>
              <w:pStyle w:val="ListParagraph"/>
              <w:numPr>
                <w:ilvl w:val="0"/>
                <w:numId w:val="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95726E" w:rsidRDefault="005402FC" w:rsidP="005402FC">
            <w:pPr>
              <w:pStyle w:val="ListParagraph"/>
              <w:numPr>
                <w:ilvl w:val="0"/>
                <w:numId w:val="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5402FC" w:rsidRPr="006B3533" w:rsidRDefault="005402FC" w:rsidP="005402FC">
            <w:pPr>
              <w:pStyle w:val="ListParagraph"/>
              <w:numPr>
                <w:ilvl w:val="0"/>
                <w:numId w:val="7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5402FC" w:rsidRPr="0054730D" w:rsidTr="00CF5489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16. Admissions</w:t>
            </w:r>
          </w:p>
        </w:tc>
      </w:tr>
      <w:tr w:rsidR="005402FC" w:rsidRPr="0054730D" w:rsidTr="00CF5489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5402FC" w:rsidRPr="0054730D" w:rsidTr="00CF5489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7F2555" w:rsidRDefault="005402FC" w:rsidP="00CF5489">
            <w:pPr>
              <w:shd w:val="clear" w:color="auto" w:fill="DBE5F1" w:themeFill="accent1" w:themeFillTint="33"/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Instructor:</w:t>
            </w:r>
            <w:r w:rsidR="001A3E69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Asst. Prof. Dr. Munther Abdullah</w:t>
            </w:r>
          </w:p>
          <w:p w:rsidR="005402FC" w:rsidRPr="006D42D5" w:rsidRDefault="005402FC" w:rsidP="00CF5489">
            <w:pPr>
              <w:shd w:val="clear" w:color="auto" w:fill="DBE5F1" w:themeFill="accent1" w:themeFillTint="33"/>
              <w:bidi w:val="0"/>
              <w:ind w:left="1152" w:hanging="810"/>
              <w:textAlignment w:val="top"/>
              <w:rPr>
                <w:rFonts w:cs="Times New Roman"/>
                <w:color w:val="88888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5402FC" w:rsidRPr="006D42D5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402FC" w:rsidRPr="006D42D5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Teaching Assistant:  </w:t>
            </w:r>
          </w:p>
          <w:p w:rsidR="005402FC" w:rsidRDefault="005402FC" w:rsidP="00CF548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5402FC" w:rsidRPr="006D42D5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p w:rsidR="00B13B5D" w:rsidRDefault="00B13B5D"/>
    <w:sectPr w:rsidR="00B13B5D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53" w:rsidRDefault="00275A53" w:rsidP="00EF1924">
      <w:r>
        <w:separator/>
      </w:r>
    </w:p>
  </w:endnote>
  <w:endnote w:type="continuationSeparator" w:id="0">
    <w:p w:rsidR="00275A53" w:rsidRDefault="00275A53" w:rsidP="00E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945BFE">
        <w:pPr>
          <w:pStyle w:val="Footer"/>
          <w:jc w:val="center"/>
        </w:pPr>
        <w:r>
          <w:fldChar w:fldCharType="begin"/>
        </w:r>
        <w:r w:rsidR="005402FC">
          <w:instrText xml:space="preserve"> PAGE   \* MERGEFORMAT </w:instrText>
        </w:r>
        <w:r>
          <w:fldChar w:fldCharType="separate"/>
        </w:r>
        <w:r w:rsidR="009C7C4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7031C9" w:rsidRPr="00F52C82" w:rsidRDefault="00275A53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53" w:rsidRDefault="00275A53" w:rsidP="00EF1924">
      <w:r>
        <w:separator/>
      </w:r>
    </w:p>
  </w:footnote>
  <w:footnote w:type="continuationSeparator" w:id="0">
    <w:p w:rsidR="00275A53" w:rsidRDefault="00275A53" w:rsidP="00EF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B53AF"/>
    <w:multiLevelType w:val="hybridMultilevel"/>
    <w:tmpl w:val="64441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537A71"/>
    <w:multiLevelType w:val="multilevel"/>
    <w:tmpl w:val="32B6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8"/>
    <w:rsid w:val="00023A3C"/>
    <w:rsid w:val="000643FD"/>
    <w:rsid w:val="000F57F9"/>
    <w:rsid w:val="001A3E69"/>
    <w:rsid w:val="00253207"/>
    <w:rsid w:val="00275A53"/>
    <w:rsid w:val="00277A93"/>
    <w:rsid w:val="003258AB"/>
    <w:rsid w:val="00360480"/>
    <w:rsid w:val="00363CDE"/>
    <w:rsid w:val="003B6220"/>
    <w:rsid w:val="00451EE7"/>
    <w:rsid w:val="004D6F27"/>
    <w:rsid w:val="004F7EC1"/>
    <w:rsid w:val="0052205F"/>
    <w:rsid w:val="005402FC"/>
    <w:rsid w:val="005962C4"/>
    <w:rsid w:val="00677D43"/>
    <w:rsid w:val="007424DE"/>
    <w:rsid w:val="008A3F44"/>
    <w:rsid w:val="00945BFE"/>
    <w:rsid w:val="009610EB"/>
    <w:rsid w:val="009C7C4B"/>
    <w:rsid w:val="00A17B66"/>
    <w:rsid w:val="00A56E28"/>
    <w:rsid w:val="00B13B5D"/>
    <w:rsid w:val="00B426DF"/>
    <w:rsid w:val="00B72496"/>
    <w:rsid w:val="00B760C3"/>
    <w:rsid w:val="00BE6352"/>
    <w:rsid w:val="00BF1FD9"/>
    <w:rsid w:val="00C103F6"/>
    <w:rsid w:val="00CA149F"/>
    <w:rsid w:val="00CB1614"/>
    <w:rsid w:val="00CC4B91"/>
    <w:rsid w:val="00D85161"/>
    <w:rsid w:val="00E07CF6"/>
    <w:rsid w:val="00EA4BDD"/>
    <w:rsid w:val="00ED63FD"/>
    <w:rsid w:val="00E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2</cp:revision>
  <dcterms:created xsi:type="dcterms:W3CDTF">2018-10-02T20:06:00Z</dcterms:created>
  <dcterms:modified xsi:type="dcterms:W3CDTF">2018-10-02T20:06:00Z</dcterms:modified>
</cp:coreProperties>
</file>