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6419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اسس هندسة النفط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PE205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664196" w:rsidP="0066419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6419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هندسة النفط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6419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نظام سنوي والدوام للطلاب بشكل كامل ويتالف العام الدراسي من 30 اسبوع مقسمة عليها المفردات العلمية للمادة.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66419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2016-2017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6419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 ساعة سنويا/ 3 ساعات اسبوعيا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664196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20/5/2018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Default="00664196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تقدم التعاريف والمفاهيم الاساسية التنهيدية من اساسيات هندسة النفط</w:t>
            </w:r>
          </w:p>
          <w:p w:rsidR="00664196" w:rsidRPr="00DB131F" w:rsidRDefault="00664196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عند الانتهاء من فترة الدراسة لهذه المادة تكون لدى الطالب القدرة على معرفة مفاهيم وتطبيقات هندسة البترول ومن اهم الاساسيات هي الجيولوجيا والجيوفيزياء </w:t>
            </w:r>
            <w:r w:rsidR="00A87AD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وهندسة المكامن النفطية وحفر الابار النفطية وعمليات الاستخلاص الثانوي وهندسة الانتاج وتقييم الابار النفطية وعمليات الجس وفحوصات الضغط .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21F80" w:rsidRDefault="00921F8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9659FC" w:rsidRPr="00DB131F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  <w:p w:rsidR="00A87AD8" w:rsidRDefault="00A87AD8" w:rsidP="00A87AD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عند الانتهاء من دراسة هذه المادة سوف يكون الطلبة قادرون على </w:t>
            </w:r>
          </w:p>
          <w:p w:rsidR="00A87AD8" w:rsidRDefault="00AE7E3C" w:rsidP="00A87AD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وصف دور مهندس النفط والمهارات المطلوبة للعمل بهذا المجال</w:t>
            </w:r>
          </w:p>
          <w:p w:rsidR="00AE7E3C" w:rsidRDefault="00AE7E3C" w:rsidP="00A87AD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كيفية خزن الموائع الهيدروكربونية وتكونها </w:t>
            </w:r>
          </w:p>
          <w:p w:rsidR="00AE7E3C" w:rsidRDefault="00AE7E3C" w:rsidP="00A87AD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وصف </w:t>
            </w:r>
            <w:r w:rsidR="0053209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كيفية حفر الابار النفطية</w:t>
            </w:r>
          </w:p>
          <w:p w:rsidR="00532095" w:rsidRDefault="00532095" w:rsidP="00A87AD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عمليات اكمال الابار والانتاج </w:t>
            </w:r>
          </w:p>
          <w:p w:rsidR="00532095" w:rsidRPr="00DB131F" w:rsidRDefault="00532095" w:rsidP="00A87AD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144F39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المعرفة والفهم</w:t>
            </w: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Default="00144F39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 w:rsidR="005948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F3B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نظرية</w:t>
            </w:r>
          </w:p>
          <w:p w:rsidR="00921F80" w:rsidRDefault="00144F39" w:rsidP="00144F3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6F3B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الواجبات النزلية</w:t>
            </w:r>
          </w:p>
          <w:p w:rsidR="006F3B75" w:rsidRDefault="006F3B75" w:rsidP="006F3B7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الاختبارات والامتحانات التحريرية والشفهية</w:t>
            </w:r>
          </w:p>
          <w:p w:rsidR="006F3B75" w:rsidRDefault="006F3B75" w:rsidP="006F3B7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 تطبيقات و تمارين علمية</w:t>
            </w:r>
          </w:p>
          <w:p w:rsidR="006F3B75" w:rsidRDefault="006F3B75" w:rsidP="006F3B7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 مناقشات</w:t>
            </w:r>
          </w:p>
          <w:p w:rsidR="006F3B75" w:rsidRDefault="006F3B75" w:rsidP="006F3B7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6- تقارير وعروض تقديمية</w:t>
            </w:r>
          </w:p>
          <w:p w:rsidR="006F3B75" w:rsidRPr="00DB131F" w:rsidRDefault="006F3B75" w:rsidP="006F3B7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7-  نشاطات متنوعة </w:t>
            </w: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144F39" w:rsidRDefault="00144F39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144F39" w:rsidRDefault="00144F39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144F39" w:rsidRDefault="00144F39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1C1185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12-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0231AE" w:rsidRPr="000231AE" w:rsidRDefault="000231AE" w:rsidP="000231AE">
            <w:pPr>
              <w:autoSpaceDE w:val="0"/>
              <w:autoSpaceDN w:val="0"/>
              <w:adjustRightInd w:val="0"/>
              <w:ind w:left="45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0231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والاختبارات</w:t>
            </w:r>
          </w:p>
          <w:p w:rsidR="000231AE" w:rsidRDefault="000231AE" w:rsidP="000231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الانشطة الامنهجية</w:t>
            </w:r>
          </w:p>
          <w:p w:rsidR="000231AE" w:rsidRDefault="000231AE" w:rsidP="000231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الطلبة اثناء المحاضرات</w:t>
            </w:r>
          </w:p>
          <w:p w:rsidR="00791E81" w:rsidRPr="000231AE" w:rsidRDefault="000231AE" w:rsidP="000231A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0231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 والعروض التقديمية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1656"/>
        <w:gridCol w:w="241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9659FC" w:rsidRPr="00DB131F" w:rsidTr="00665D14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5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41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665D14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1C1185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65D14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54B39" w:rsidRDefault="00665D14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المفاهيم الاساسية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665D14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1C1185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665D14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shd w:val="clear" w:color="auto" w:fill="D3DFEE"/>
            <w:vAlign w:val="center"/>
          </w:tcPr>
          <w:p w:rsidR="009659FC" w:rsidRPr="00DB131F" w:rsidRDefault="00665D14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خواص النفط الخام وخوصه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665D14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اصل النفط وتكونه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665D14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shd w:val="clear" w:color="auto" w:fill="D3DFEE"/>
            <w:vAlign w:val="center"/>
          </w:tcPr>
          <w:p w:rsidR="009659FC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تجمع وهجرة النفط في الصخور 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665D14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المصائد النغطية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665D14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shd w:val="clear" w:color="auto" w:fill="D3DFEE"/>
            <w:vAlign w:val="center"/>
          </w:tcPr>
          <w:p w:rsidR="009659FC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استكشاف النفط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665D14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الدلائل المباشرة وغير المباشرة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  <w:p w:rsidR="009659FC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  <w:p w:rsidR="009659FC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  <w:p w:rsidR="009659FC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  <w:p w:rsidR="009659FC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  <w:p w:rsidR="00665D14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  <w:p w:rsidR="00665D14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  <w:p w:rsidR="00665D14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  <w:p w:rsidR="00665D14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الاستشاف الجيو فيزيائية</w:t>
            </w:r>
          </w:p>
          <w:p w:rsidR="00665D14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المغناطيسية  والجاذبية</w:t>
            </w:r>
          </w:p>
          <w:p w:rsidR="00665D14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والطرق الزلزالية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C1185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C1185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الخواص الفيزيائية للصخور المكمنية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C1185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C1185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DA5B9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حساب المسامية وتطبيقاتها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DA5B9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حساب النفاذية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C1185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C1185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DA5B9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تشبع الصخور بالموائع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C1185" w:rsidRPr="00DB131F" w:rsidRDefault="001C118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DA5B95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حسابات حجم النفط والغاز المكمني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3C4C98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الجريان للموائع المكمنية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3C4C98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قابلية الصخور للتبلل بالموائع المكمنية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3C4C98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3C4C98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الضغوط الشعيرية وحساباتها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3C4C98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انواع المكامن النفطية وتصنيفاتها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C4C98" w:rsidRPr="00DB131F" w:rsidRDefault="003C4C98" w:rsidP="003C4C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الاستخلاص الابتدائي للنفط الخام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C051F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حفر الابارا لنفطية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C051F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الحفر الدوراني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C051F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موائع الحفر وتصنيفاتها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C051F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اكمال الابار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C051F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تخطيط الابار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28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C051F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فحوصات الضغوط المكمنية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C051F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الاستخلاص الثانوي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77DA0" w:rsidRPr="00DB131F" w:rsidTr="00665D14">
        <w:trPr>
          <w:gridBefore w:val="1"/>
          <w:wBefore w:w="6" w:type="dxa"/>
          <w:trHeight w:val="4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665D1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1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C051F3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عازلات وخزانات النفط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417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231"/>
        <w:gridCol w:w="3681"/>
        <w:gridCol w:w="1488"/>
      </w:tblGrid>
      <w:tr w:rsidR="00A54A09" w:rsidRPr="00DB131F" w:rsidTr="00A54A09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A54A09" w:rsidRPr="00DB131F" w:rsidRDefault="00A54A09" w:rsidP="00A54A09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54A09" w:rsidRPr="00DB131F" w:rsidTr="00A54A09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A54A09" w:rsidRPr="00DB131F" w:rsidRDefault="00A54A09" w:rsidP="00A54A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A54A09" w:rsidRPr="00DB131F" w:rsidRDefault="00A54A09" w:rsidP="00A54A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A54A09" w:rsidRPr="00DB131F" w:rsidRDefault="00A54A09" w:rsidP="00A54A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A54A09" w:rsidRPr="00DB131F" w:rsidRDefault="00A54A09" w:rsidP="00A54A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A54A09" w:rsidRDefault="00786393" w:rsidP="00786393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Text book:</w:t>
            </w:r>
          </w:p>
          <w:p w:rsidR="00786393" w:rsidRDefault="00786393" w:rsidP="00786393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Fundamental principles of petroleum engineering</w:t>
            </w:r>
          </w:p>
          <w:p w:rsidR="00786393" w:rsidRDefault="00786393" w:rsidP="00786393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References:</w:t>
            </w:r>
          </w:p>
          <w:p w:rsidR="00786393" w:rsidRDefault="00786393" w:rsidP="00786393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786393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L. P. </w:t>
            </w:r>
            <w:proofErr w:type="spellStart"/>
            <w:r w:rsidRPr="00786393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Dake</w:t>
            </w:r>
            <w:proofErr w:type="spellEnd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--</w:t>
            </w:r>
            <w:r w:rsidRPr="00786393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Fundamental of reservoir engineering</w:t>
            </w:r>
          </w:p>
          <w:p w:rsidR="00786393" w:rsidRDefault="00786393" w:rsidP="00786393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Ahmed </w:t>
            </w:r>
            <w:proofErr w:type="spellStart"/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Tare</w:t>
            </w:r>
            <w:r w:rsidR="00772FC1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k</w:t>
            </w:r>
            <w:proofErr w:type="spellEnd"/>
            <w:r w:rsidR="00772FC1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– reservoir engineering handbook</w:t>
            </w:r>
          </w:p>
          <w:p w:rsidR="00772FC1" w:rsidRPr="00786393" w:rsidRDefault="00772FC1" w:rsidP="00772FC1">
            <w:pPr>
              <w:autoSpaceDE w:val="0"/>
              <w:autoSpaceDN w:val="0"/>
              <w:bidi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R. F. Mitchell -- </w:t>
            </w:r>
            <w:r w:rsidRPr="00772FC1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Fundamental</w:t>
            </w: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of drilling engineering</w:t>
            </w:r>
          </w:p>
        </w:tc>
      </w:tr>
      <w:tr w:rsidR="00A54A09" w:rsidRPr="00DB131F" w:rsidTr="00A54A09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4A09" w:rsidRPr="00DB131F" w:rsidRDefault="00A54A09" w:rsidP="00A54A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4A09" w:rsidRPr="00DB131F" w:rsidRDefault="000F59DF" w:rsidP="00A54A09">
            <w:p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استخدام مواقع الكترونية متعلقة بالمواضيع اضافة الى استخادم برامج تطبيقية</w:t>
            </w:r>
          </w:p>
        </w:tc>
      </w:tr>
      <w:tr w:rsidR="00A54A09" w:rsidRPr="00DB131F" w:rsidTr="00A54A09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A54A09" w:rsidRPr="00DB131F" w:rsidRDefault="00A54A09" w:rsidP="00A54A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A54A09" w:rsidRPr="00DB131F" w:rsidRDefault="000F59DF" w:rsidP="00A54A0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تشتمل على حضور الندوات والمحاضرات وورش العمل التي تقام في القسم</w:t>
            </w:r>
            <w:bookmarkStart w:id="0" w:name="_GoBack"/>
            <w:bookmarkEnd w:id="0"/>
          </w:p>
        </w:tc>
      </w:tr>
      <w:tr w:rsidR="00A54A09" w:rsidRPr="00DB131F" w:rsidTr="00A54A09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A54A09" w:rsidRPr="00DB131F" w:rsidRDefault="00A54A09" w:rsidP="00A54A09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54A09" w:rsidRPr="00DB131F" w:rsidTr="00A54A09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A54A09" w:rsidRPr="00DB131F" w:rsidRDefault="00A54A09" w:rsidP="00A54A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A54A09" w:rsidRPr="00DB131F" w:rsidRDefault="00A54A09" w:rsidP="00A54A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A54A09" w:rsidRPr="00DB131F" w:rsidRDefault="00A54A09" w:rsidP="00A54A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A54A09" w:rsidRPr="00DB131F" w:rsidRDefault="00A54A09" w:rsidP="00A54A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A54A09" w:rsidRPr="00DB131F" w:rsidRDefault="00A54A09" w:rsidP="00A54A0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54A09" w:rsidRPr="00DB131F" w:rsidTr="00A54A09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4A09" w:rsidRPr="00DB131F" w:rsidRDefault="00A54A09" w:rsidP="00A54A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4A09" w:rsidRPr="00DB131F" w:rsidRDefault="00A54A09" w:rsidP="00A54A0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54A09" w:rsidRPr="00DB131F" w:rsidTr="00A54A09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A54A09" w:rsidRPr="00DB131F" w:rsidRDefault="00A54A09" w:rsidP="00A54A0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A54A09" w:rsidRPr="00DB131F" w:rsidRDefault="00A54A09" w:rsidP="00A54A09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54A09" w:rsidRPr="00477DA0" w:rsidTr="00A54A09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A54A09" w:rsidRPr="00477DA0" w:rsidRDefault="00A54A09" w:rsidP="00A54A09">
            <w:pPr>
              <w:numPr>
                <w:ilvl w:val="0"/>
                <w:numId w:val="1"/>
              </w:numPr>
              <w:rPr>
                <w:lang w:bidi="ar-IQ"/>
              </w:rPr>
            </w:pPr>
            <w:r w:rsidRPr="00477DA0">
              <w:rPr>
                <w:rtl/>
                <w:lang w:bidi="ar-IQ"/>
              </w:rPr>
              <w:t xml:space="preserve">البنية التحتية </w:t>
            </w:r>
          </w:p>
        </w:tc>
      </w:tr>
      <w:tr w:rsidR="00A54A09" w:rsidRPr="00477DA0" w:rsidTr="00A54A09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A54A09" w:rsidRPr="00477DA0" w:rsidRDefault="00A54A09" w:rsidP="00A54A09">
            <w:pPr>
              <w:rPr>
                <w:rtl/>
                <w:lang w:bidi="ar-IQ"/>
              </w:rPr>
            </w:pPr>
            <w:r w:rsidRPr="00477DA0">
              <w:rPr>
                <w:rtl/>
                <w:lang w:bidi="ar-IQ"/>
              </w:rPr>
              <w:t>القراءات المطلوبة :</w:t>
            </w:r>
          </w:p>
          <w:p w:rsidR="00A54A09" w:rsidRPr="00477DA0" w:rsidRDefault="00A54A09" w:rsidP="00A54A09">
            <w:pPr>
              <w:numPr>
                <w:ilvl w:val="0"/>
                <w:numId w:val="2"/>
              </w:numPr>
              <w:rPr>
                <w:lang w:bidi="ar-IQ"/>
              </w:rPr>
            </w:pPr>
            <w:r w:rsidRPr="00477DA0">
              <w:rPr>
                <w:rtl/>
                <w:lang w:bidi="ar-IQ"/>
              </w:rPr>
              <w:t xml:space="preserve">النصوص الأساسية </w:t>
            </w:r>
          </w:p>
          <w:p w:rsidR="00A54A09" w:rsidRPr="00477DA0" w:rsidRDefault="00A54A09" w:rsidP="00A54A09">
            <w:pPr>
              <w:numPr>
                <w:ilvl w:val="0"/>
                <w:numId w:val="2"/>
              </w:numPr>
              <w:rPr>
                <w:lang w:bidi="ar-IQ"/>
              </w:rPr>
            </w:pPr>
            <w:r w:rsidRPr="00477DA0">
              <w:rPr>
                <w:rtl/>
                <w:lang w:bidi="ar-IQ"/>
              </w:rPr>
              <w:t>كتب المقرر</w:t>
            </w:r>
          </w:p>
          <w:p w:rsidR="00A54A09" w:rsidRPr="00477DA0" w:rsidRDefault="00A54A09" w:rsidP="00A54A09">
            <w:pPr>
              <w:numPr>
                <w:ilvl w:val="0"/>
                <w:numId w:val="2"/>
              </w:numPr>
              <w:rPr>
                <w:lang w:bidi="ar-IQ"/>
              </w:rPr>
            </w:pPr>
            <w:r w:rsidRPr="00477DA0">
              <w:rPr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A54A09" w:rsidRPr="00477DA0" w:rsidRDefault="00A54A09" w:rsidP="00A54A09">
            <w:pPr>
              <w:rPr>
                <w:lang w:bidi="ar-IQ"/>
              </w:rPr>
            </w:pPr>
          </w:p>
        </w:tc>
      </w:tr>
      <w:tr w:rsidR="00A54A09" w:rsidRPr="00477DA0" w:rsidTr="00A54A09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4A09" w:rsidRPr="00477DA0" w:rsidRDefault="00A54A09" w:rsidP="00A54A09">
            <w:pPr>
              <w:rPr>
                <w:lang w:bidi="ar-IQ"/>
              </w:rPr>
            </w:pPr>
            <w:r w:rsidRPr="00477DA0">
              <w:rPr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4A09" w:rsidRPr="00477DA0" w:rsidRDefault="00A54A09" w:rsidP="00A54A09">
            <w:pPr>
              <w:rPr>
                <w:lang w:bidi="ar-IQ"/>
              </w:rPr>
            </w:pPr>
          </w:p>
        </w:tc>
      </w:tr>
      <w:tr w:rsidR="00A54A09" w:rsidRPr="00477DA0" w:rsidTr="00A54A09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A54A09" w:rsidRPr="00477DA0" w:rsidRDefault="00A54A09" w:rsidP="00A54A09">
            <w:pPr>
              <w:rPr>
                <w:lang w:bidi="ar-IQ"/>
              </w:rPr>
            </w:pPr>
            <w:r w:rsidRPr="00477DA0">
              <w:rPr>
                <w:rtl/>
                <w:lang w:bidi="ar-IQ"/>
              </w:rPr>
              <w:lastRenderedPageBreak/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A54A09" w:rsidRPr="00477DA0" w:rsidRDefault="00A54A09" w:rsidP="00A54A09">
            <w:pPr>
              <w:rPr>
                <w:lang w:bidi="ar-IQ"/>
              </w:rPr>
            </w:pP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</w:pPr>
    </w:p>
    <w:p w:rsidR="00477DA0" w:rsidRDefault="00477DA0" w:rsidP="00791E81">
      <w:pPr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</w:pPr>
    </w:p>
    <w:p w:rsidR="00477DA0" w:rsidRDefault="00477DA0" w:rsidP="00791E81">
      <w:pPr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</w:pPr>
    </w:p>
    <w:p w:rsidR="00477DA0" w:rsidRPr="00E779AA" w:rsidRDefault="00477DA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rFonts w:hint="cs"/>
          <w:rtl/>
          <w:lang w:bidi="ar-IQ"/>
        </w:rPr>
      </w:pPr>
    </w:p>
    <w:p w:rsidR="00477DA0" w:rsidRDefault="00477DA0">
      <w:pPr>
        <w:rPr>
          <w:rFonts w:hint="cs"/>
          <w:rtl/>
          <w:lang w:bidi="ar-IQ"/>
        </w:rPr>
      </w:pPr>
    </w:p>
    <w:p w:rsidR="00477DA0" w:rsidRDefault="00477DA0">
      <w:pPr>
        <w:rPr>
          <w:rFonts w:hint="cs"/>
          <w:rtl/>
          <w:lang w:bidi="ar-IQ"/>
        </w:rPr>
      </w:pPr>
    </w:p>
    <w:p w:rsidR="00477DA0" w:rsidRDefault="00477DA0">
      <w:pPr>
        <w:rPr>
          <w:rFonts w:hint="cs"/>
          <w:rtl/>
          <w:lang w:bidi="ar-IQ"/>
        </w:rPr>
      </w:pPr>
    </w:p>
    <w:tbl>
      <w:tblPr>
        <w:tblpPr w:leftFromText="180" w:rightFromText="180" w:vertAnchor="page" w:horzAnchor="margin" w:tblpXSpec="center" w:tblpY="1402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477DA0" w:rsidRPr="00DB131F" w:rsidTr="00477DA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477DA0" w:rsidRPr="00DB131F" w:rsidRDefault="00477DA0" w:rsidP="00477DA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477DA0" w:rsidRPr="00DB131F" w:rsidTr="00477DA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477DA0" w:rsidRPr="00DB131F" w:rsidRDefault="00477DA0" w:rsidP="0047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477DA0" w:rsidRPr="00DB131F" w:rsidRDefault="00477DA0" w:rsidP="0047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 السادس الاعدادي</w:t>
            </w:r>
          </w:p>
        </w:tc>
      </w:tr>
      <w:tr w:rsidR="00477DA0" w:rsidRPr="00DB131F" w:rsidTr="00477DA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47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77DA0" w:rsidRPr="00DB131F" w:rsidRDefault="00477DA0" w:rsidP="0047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 للصف الواحد</w:t>
            </w:r>
          </w:p>
        </w:tc>
      </w:tr>
      <w:tr w:rsidR="00477DA0" w:rsidRPr="00DB131F" w:rsidTr="00477DA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477DA0" w:rsidRPr="00DB131F" w:rsidRDefault="00477DA0" w:rsidP="0047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477DA0" w:rsidRPr="00DB131F" w:rsidRDefault="00477DA0" w:rsidP="00477DA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55 للصف الواحد</w:t>
            </w:r>
          </w:p>
        </w:tc>
      </w:tr>
    </w:tbl>
    <w:p w:rsidR="00477DA0" w:rsidRDefault="00477DA0">
      <w:pPr>
        <w:rPr>
          <w:rFonts w:hint="cs"/>
          <w:rtl/>
          <w:lang w:bidi="ar-IQ"/>
        </w:rPr>
      </w:pPr>
    </w:p>
    <w:p w:rsidR="00477DA0" w:rsidRDefault="00477DA0">
      <w:pPr>
        <w:rPr>
          <w:rFonts w:hint="cs"/>
          <w:rtl/>
          <w:lang w:bidi="ar-IQ"/>
        </w:rPr>
      </w:pPr>
    </w:p>
    <w:p w:rsidR="00477DA0" w:rsidRDefault="00477DA0">
      <w:pPr>
        <w:rPr>
          <w:rFonts w:hint="cs"/>
          <w:rtl/>
          <w:lang w:bidi="ar-IQ"/>
        </w:rPr>
      </w:pPr>
    </w:p>
    <w:p w:rsidR="00477DA0" w:rsidRDefault="00477DA0">
      <w:pPr>
        <w:rPr>
          <w:rFonts w:hint="cs"/>
          <w:rtl/>
          <w:lang w:bidi="ar-IQ"/>
        </w:rPr>
      </w:pPr>
    </w:p>
    <w:p w:rsidR="00477DA0" w:rsidRDefault="00477DA0">
      <w:pPr>
        <w:rPr>
          <w:rFonts w:hint="cs"/>
          <w:rtl/>
          <w:lang w:bidi="ar-IQ"/>
        </w:rPr>
      </w:pPr>
    </w:p>
    <w:p w:rsidR="00477DA0" w:rsidRPr="00477DA0" w:rsidRDefault="00477DA0">
      <w:pPr>
        <w:rPr>
          <w:lang w:bidi="ar-IQ"/>
        </w:rPr>
      </w:pPr>
    </w:p>
    <w:sectPr w:rsidR="00477DA0" w:rsidRPr="00477DA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86" w:rsidRDefault="00C00786" w:rsidP="00791E81">
      <w:r>
        <w:separator/>
      </w:r>
    </w:p>
  </w:endnote>
  <w:endnote w:type="continuationSeparator" w:id="0">
    <w:p w:rsidR="00C00786" w:rsidRDefault="00C00786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86" w:rsidRDefault="00C00786" w:rsidP="00791E81">
      <w:r>
        <w:separator/>
      </w:r>
    </w:p>
  </w:footnote>
  <w:footnote w:type="continuationSeparator" w:id="0">
    <w:p w:rsidR="00C00786" w:rsidRDefault="00C00786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E39"/>
    <w:multiLevelType w:val="hybridMultilevel"/>
    <w:tmpl w:val="570AA948"/>
    <w:lvl w:ilvl="0" w:tplc="8E5A879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231AE"/>
    <w:rsid w:val="00064CD6"/>
    <w:rsid w:val="000851BE"/>
    <w:rsid w:val="000F59DF"/>
    <w:rsid w:val="00106480"/>
    <w:rsid w:val="00116FC3"/>
    <w:rsid w:val="00144F39"/>
    <w:rsid w:val="001614DD"/>
    <w:rsid w:val="001C1185"/>
    <w:rsid w:val="00204E70"/>
    <w:rsid w:val="00275C9E"/>
    <w:rsid w:val="00282545"/>
    <w:rsid w:val="003C4C98"/>
    <w:rsid w:val="00477DA0"/>
    <w:rsid w:val="00510B77"/>
    <w:rsid w:val="00532095"/>
    <w:rsid w:val="0053603B"/>
    <w:rsid w:val="0057765E"/>
    <w:rsid w:val="005948F1"/>
    <w:rsid w:val="0065256C"/>
    <w:rsid w:val="00664196"/>
    <w:rsid w:val="00665D14"/>
    <w:rsid w:val="00677E26"/>
    <w:rsid w:val="006F3B75"/>
    <w:rsid w:val="00703586"/>
    <w:rsid w:val="00772FC1"/>
    <w:rsid w:val="00786393"/>
    <w:rsid w:val="00791E81"/>
    <w:rsid w:val="0090592A"/>
    <w:rsid w:val="00921F80"/>
    <w:rsid w:val="009659FC"/>
    <w:rsid w:val="00A54A09"/>
    <w:rsid w:val="00A87AD8"/>
    <w:rsid w:val="00AD1424"/>
    <w:rsid w:val="00AE7E3C"/>
    <w:rsid w:val="00C00786"/>
    <w:rsid w:val="00C051F3"/>
    <w:rsid w:val="00C54B39"/>
    <w:rsid w:val="00D41A4E"/>
    <w:rsid w:val="00D86718"/>
    <w:rsid w:val="00D926FC"/>
    <w:rsid w:val="00DA5B95"/>
    <w:rsid w:val="00D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</cp:lastModifiedBy>
  <cp:revision>14</cp:revision>
  <dcterms:created xsi:type="dcterms:W3CDTF">2018-05-21T19:13:00Z</dcterms:created>
  <dcterms:modified xsi:type="dcterms:W3CDTF">2018-05-22T05:13:00Z</dcterms:modified>
</cp:coreProperties>
</file>