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Default="002C72EF" w:rsidP="006C1EF5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2C72EF" w:rsidRPr="00E30566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u w:val="single"/>
          <w:rtl/>
          <w:lang w:bidi="ar-IQ"/>
        </w:rPr>
      </w:pPr>
      <w:r w:rsidRPr="00E30566">
        <w:rPr>
          <w:rFonts w:cs="Times New Roman"/>
          <w:b/>
          <w:bCs/>
          <w:color w:val="1F4E79"/>
          <w:sz w:val="30"/>
          <w:szCs w:val="30"/>
          <w:u w:val="single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32CE6" w:rsidRDefault="006E2C5E" w:rsidP="006E2C5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</w:t>
            </w: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programmed specification.</w:t>
            </w: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932CE6" w:rsidRDefault="00BD7A28" w:rsidP="000231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932CE6" w:rsidRDefault="00656695" w:rsidP="000815A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Engineering College / </w:t>
            </w:r>
            <w:r w:rsidR="000815A5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Energy Dept.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932CE6" w:rsidRDefault="00656695" w:rsidP="001614E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Strength of Materials</w:t>
            </w:r>
            <w:r w:rsidR="001614E0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&amp; Materials science and engineering</w:t>
            </w: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/</w:t>
            </w:r>
            <w:r w:rsidR="00634281"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614E0">
              <w:rPr>
                <w:rFonts w:cs="Times New Roman"/>
                <w:b/>
                <w:bCs/>
                <w:sz w:val="28"/>
                <w:szCs w:val="28"/>
                <w:lang w:bidi="ar-IQ"/>
              </w:rPr>
              <w:t>212ENSM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title/code&amp; Description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932CE6" w:rsidRDefault="001614E0" w:rsidP="001614E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Second </w:t>
            </w:r>
            <w:r w:rsidR="00F140FA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DC6606"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Contributes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932CE6" w:rsidRDefault="00107F88" w:rsidP="00107F8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2C72EF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2C72EF" w:rsidRPr="00932CE6" w:rsidRDefault="00644847" w:rsidP="001614E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First and second s</w:t>
            </w:r>
            <w:r w:rsidR="00D05D47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emesters / 201</w:t>
            </w:r>
            <w:r w:rsidR="001614E0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  <w:r w:rsidR="00D05D47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-201</w:t>
            </w:r>
            <w:r w:rsidR="001614E0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2C72EF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932CE6" w:rsidRDefault="001614E0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96 </w:t>
            </w:r>
            <w:r w:rsidR="00E30566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hours for year.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932CE6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932CE6" w:rsidRDefault="00E91F33" w:rsidP="001614E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2018/5/23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932CE6" w:rsidRDefault="002C72EF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2C72EF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Pr="00932CE6" w:rsidRDefault="002C72EF" w:rsidP="000231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2C72EF" w:rsidRPr="009F395E" w:rsidTr="000231B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Pr="00932CE6" w:rsidRDefault="007D52E2" w:rsidP="007D52E2">
            <w:pPr>
              <w:autoSpaceDE w:val="0"/>
              <w:autoSpaceDN w:val="0"/>
              <w:bidi w:val="0"/>
              <w:adjustRightInd w:val="0"/>
              <w:ind w:left="82" w:firstLine="278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 The students is </w:t>
            </w:r>
            <w:proofErr w:type="gramStart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studying  the</w:t>
            </w:r>
            <w:proofErr w:type="gramEnd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mechanics of materials of the behavior of solid bodies under load. The way in whi</w:t>
            </w:r>
            <w:bookmarkStart w:id="0" w:name="_GoBack"/>
            <w:bookmarkEnd w:id="0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ch they react to applied forces, the deflections resulting and the stresses and strains set up within the </w:t>
            </w:r>
            <w:proofErr w:type="gramStart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bodies,</w:t>
            </w:r>
            <w:proofErr w:type="gramEnd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are all considered in an attempt to provide sufficient knowledge to enable any component to be designed such that it will not fail within its service life. The </w:t>
            </w:r>
            <w:proofErr w:type="gramStart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students is</w:t>
            </w:r>
            <w:proofErr w:type="gramEnd"/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investigating the simple and complex stresses of different bodies in the elastic limit. </w:t>
            </w:r>
          </w:p>
          <w:p w:rsidR="002C72EF" w:rsidRPr="00932CE6" w:rsidRDefault="002C72EF" w:rsidP="007D52E2">
            <w:pPr>
              <w:autoSpaceDE w:val="0"/>
              <w:autoSpaceDN w:val="0"/>
              <w:bidi w:val="0"/>
              <w:adjustRightInd w:val="0"/>
              <w:ind w:left="82" w:firstLine="278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240ED" w:rsidRPr="00932CE6" w:rsidRDefault="008240ED" w:rsidP="007D52E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94BFE" w:rsidRPr="00932CE6" w:rsidRDefault="00514175" w:rsidP="00594BFE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 xml:space="preserve"> </w:t>
            </w:r>
            <w:proofErr w:type="gramStart"/>
            <w:r w:rsidR="0087733F" w:rsidRPr="00932CE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Discussion ,explain</w:t>
            </w:r>
            <w:proofErr w:type="gramEnd"/>
            <w:r w:rsidR="0087733F" w:rsidRPr="00932CE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,</w:t>
            </w:r>
            <w:r w:rsidR="00594BFE" w:rsidRPr="00932CE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 example</w:t>
            </w:r>
            <w:r w:rsidR="0087733F" w:rsidRPr="00932CE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 and educational films video seminar concerning for the subject.</w:t>
            </w:r>
            <w:r w:rsidR="00594BFE" w:rsidRPr="00932CE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2C72EF" w:rsidRPr="00D64113" w:rsidRDefault="002C72EF" w:rsidP="00BC1E59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6F73FC" w:rsidRPr="00995D4A" w:rsidRDefault="006F73FC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5"/>
              <w:gridCol w:w="4033"/>
            </w:tblGrid>
            <w:tr w:rsidR="006F73FC" w:rsidRPr="006F73FC" w:rsidTr="00857A9B">
              <w:tc>
                <w:tcPr>
                  <w:tcW w:w="4715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 xml:space="preserve">Comprehensive Course Exam. </w:t>
                  </w:r>
                </w:p>
              </w:tc>
              <w:tc>
                <w:tcPr>
                  <w:tcW w:w="4033" w:type="dxa"/>
                  <w:hideMark/>
                </w:tcPr>
                <w:p w:rsidR="00B7731F" w:rsidRPr="00932CE6" w:rsidRDefault="007B0721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  <w:r w:rsidR="001614E0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0</w:t>
                  </w:r>
                  <w:r w:rsidR="006F73FC"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%</w:t>
                  </w:r>
                </w:p>
              </w:tc>
            </w:tr>
            <w:tr w:rsidR="006F73FC" w:rsidRPr="006F73FC" w:rsidTr="00857A9B">
              <w:tc>
                <w:tcPr>
                  <w:tcW w:w="4715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Quizzes and Homework</w:t>
                  </w:r>
                  <w:r w:rsidR="00857A9B"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s</w:t>
                  </w:r>
                </w:p>
              </w:tc>
              <w:tc>
                <w:tcPr>
                  <w:tcW w:w="4033" w:type="dxa"/>
                  <w:hideMark/>
                </w:tcPr>
                <w:p w:rsidR="00B7731F" w:rsidRPr="00932CE6" w:rsidRDefault="001614E0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20</w:t>
                  </w:r>
                  <w:r w:rsidR="006F73FC"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%</w:t>
                  </w:r>
                </w:p>
              </w:tc>
            </w:tr>
            <w:tr w:rsidR="006F73FC" w:rsidRPr="006F73FC" w:rsidTr="00857A9B">
              <w:tc>
                <w:tcPr>
                  <w:tcW w:w="4715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Final Course Exam.</w:t>
                  </w:r>
                </w:p>
              </w:tc>
              <w:tc>
                <w:tcPr>
                  <w:tcW w:w="4033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70%</w:t>
                  </w:r>
                </w:p>
              </w:tc>
            </w:tr>
            <w:tr w:rsidR="006F73FC" w:rsidRPr="006F73FC" w:rsidTr="00857A9B">
              <w:tc>
                <w:tcPr>
                  <w:tcW w:w="4715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Total</w:t>
                  </w:r>
                </w:p>
              </w:tc>
              <w:tc>
                <w:tcPr>
                  <w:tcW w:w="4033" w:type="dxa"/>
                  <w:hideMark/>
                </w:tcPr>
                <w:p w:rsidR="00B7731F" w:rsidRPr="00932CE6" w:rsidRDefault="006F73FC" w:rsidP="00E91F33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932CE6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  <w:t>100%</w:t>
                  </w:r>
                </w:p>
              </w:tc>
            </w:tr>
          </w:tbl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932CE6" w:rsidRDefault="002C72EF" w:rsidP="005D56E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13. Grading Policy</w:t>
            </w:r>
            <w:r w:rsidR="00932CE6"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121B7A" w:rsidRPr="00932CE6" w:rsidRDefault="00932CE6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a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.  Homework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:   </w:t>
            </w:r>
          </w:p>
          <w:p w:rsidR="00121B7A" w:rsidRPr="00932CE6" w:rsidRDefault="00121B7A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- There will be a minimum of sixteen sets of homework during the academic semester. </w:t>
            </w:r>
          </w:p>
          <w:p w:rsidR="00121B7A" w:rsidRPr="00932CE6" w:rsidRDefault="00121B7A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- Please note that homework should be submitted at the beginning of the class  before the start of the lecture. </w:t>
            </w:r>
          </w:p>
          <w:p w:rsidR="00121B7A" w:rsidRPr="00932CE6" w:rsidRDefault="007B0721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- The homework will count </w:t>
            </w:r>
            <w:r w:rsidR="00375E8F" w:rsidRPr="00932CE6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% of the total course grade. </w:t>
            </w:r>
          </w:p>
          <w:p w:rsidR="00121B7A" w:rsidRPr="00932CE6" w:rsidRDefault="00932CE6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b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.  Quizzes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:      </w:t>
            </w:r>
          </w:p>
          <w:p w:rsidR="00121B7A" w:rsidRPr="00932CE6" w:rsidRDefault="00121B7A" w:rsidP="001614E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- There will be a two closed books and notes </w:t>
            </w:r>
            <w:r w:rsidR="007B0721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about </w:t>
            </w:r>
            <w:r w:rsidR="001614E0">
              <w:rPr>
                <w:rFonts w:cs="Times New Roman"/>
                <w:b/>
                <w:bCs/>
                <w:sz w:val="28"/>
                <w:szCs w:val="28"/>
              </w:rPr>
              <w:t xml:space="preserve">eight </w:t>
            </w: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quizzes during the academic semester. The quizzes will count </w:t>
            </w:r>
            <w:r w:rsidR="001614E0">
              <w:rPr>
                <w:rFonts w:cs="Times New Roman"/>
                <w:b/>
                <w:bCs/>
                <w:sz w:val="28"/>
                <w:szCs w:val="28"/>
              </w:rPr>
              <w:t>20</w:t>
            </w: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% of the total course grade. </w:t>
            </w:r>
          </w:p>
          <w:p w:rsidR="00121B7A" w:rsidRPr="00932CE6" w:rsidRDefault="00932CE6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c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.  Exams:        </w:t>
            </w:r>
          </w:p>
          <w:p w:rsidR="00121B7A" w:rsidRPr="00932CE6" w:rsidRDefault="00375E8F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>- There will be two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closed books and notes exam during the academic year,  </w:t>
            </w:r>
          </w:p>
          <w:p w:rsidR="00121B7A" w:rsidRPr="00932CE6" w:rsidRDefault="00375E8F" w:rsidP="001614E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32CE6">
              <w:rPr>
                <w:rFonts w:cs="Times New Roman"/>
                <w:b/>
                <w:bCs/>
                <w:sz w:val="28"/>
                <w:szCs w:val="28"/>
              </w:rPr>
              <w:t>will</w:t>
            </w:r>
            <w:proofErr w:type="gramEnd"/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count </w:t>
            </w:r>
            <w:r w:rsidR="001614E0">
              <w:rPr>
                <w:rFonts w:cs="Times New Roman"/>
                <w:b/>
                <w:bCs/>
                <w:sz w:val="28"/>
                <w:szCs w:val="28"/>
              </w:rPr>
              <w:t>10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% of the total course grade. </w:t>
            </w:r>
          </w:p>
          <w:p w:rsidR="00121B7A" w:rsidRPr="00932CE6" w:rsidRDefault="00932CE6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>d</w:t>
            </w:r>
            <w:r w:rsidR="00121B7A" w:rsidRPr="00932CE6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.  Final Exam: </w:t>
            </w:r>
          </w:p>
          <w:p w:rsidR="00121B7A" w:rsidRPr="00932CE6" w:rsidRDefault="00121B7A" w:rsidP="00121B7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- The final exam will be comprehensive, closed books and notes, </w:t>
            </w:r>
          </w:p>
          <w:p w:rsidR="002C72EF" w:rsidRPr="00932CE6" w:rsidRDefault="00121B7A" w:rsidP="00932CE6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>The final exam will count 70% of the total course grade.</w:t>
            </w: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065" w:type="dxa"/>
        <w:tblInd w:w="8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992"/>
        <w:gridCol w:w="3685"/>
        <w:gridCol w:w="993"/>
      </w:tblGrid>
      <w:tr w:rsidR="00BA149C" w:rsidRPr="00D14D3B" w:rsidTr="008E41E8">
        <w:trPr>
          <w:trHeight w:val="542"/>
        </w:trPr>
        <w:tc>
          <w:tcPr>
            <w:tcW w:w="10065" w:type="dxa"/>
            <w:gridSpan w:val="5"/>
            <w:shd w:val="clear" w:color="auto" w:fill="DBE5F1" w:themeFill="accent1" w:themeFillTint="33"/>
          </w:tcPr>
          <w:p w:rsidR="00BA149C" w:rsidRPr="00BA149C" w:rsidRDefault="007A354D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</w:t>
            </w:r>
            <w:r w:rsidR="00BA149C" w:rsidRPr="00BA149C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C4314" w:rsidRPr="00932CE6" w:rsidTr="008E41E8">
        <w:trPr>
          <w:trHeight w:val="1269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Assessment Method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Teaching</w:t>
            </w:r>
          </w:p>
          <w:p w:rsidR="007C4314" w:rsidRPr="00932CE6" w:rsidRDefault="007C431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Pr="00932CE6" w:rsidRDefault="003B51FC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3ho</w:t>
            </w:r>
            <w:r w:rsidR="007C4314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ur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Unit/Module or Topic Title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Week</w:t>
            </w:r>
          </w:p>
        </w:tc>
      </w:tr>
      <w:tr w:rsidR="007C4314" w:rsidRPr="00932CE6" w:rsidTr="008E41E8">
        <w:trPr>
          <w:trHeight w:val="39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7C4314" w:rsidRPr="00932CE6" w:rsidRDefault="007C4314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Lecture</w:t>
            </w:r>
            <w:r w:rsidR="00BA149C"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 and Seminars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C4314" w:rsidRDefault="001614E0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 hour</w:t>
            </w:r>
          </w:p>
          <w:p w:rsidR="001614E0" w:rsidRPr="00932CE6" w:rsidRDefault="001614E0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6E1B" w:rsidRDefault="003B51FC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Introduction &amp; Definition</w:t>
            </w:r>
          </w:p>
          <w:p w:rsidR="007C4314" w:rsidRPr="00932CE6" w:rsidRDefault="003B51FC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for strength of materials 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90FD2" w:rsidRPr="00932CE6" w:rsidTr="008E41E8">
        <w:trPr>
          <w:trHeight w:val="39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590FD2" w:rsidRPr="00932CE6" w:rsidRDefault="00590FD2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90FD2" w:rsidRPr="00932CE6" w:rsidRDefault="00590FD2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90FD2" w:rsidRDefault="003B51FC" w:rsidP="008E41E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90FD2" w:rsidRPr="00932CE6" w:rsidRDefault="003B51FC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&amp;materials engineering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90FD2" w:rsidRPr="00932CE6" w:rsidRDefault="00590FD2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F6E1B" w:rsidRPr="00932CE6" w:rsidTr="008E41E8">
        <w:trPr>
          <w:trHeight w:val="469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b/>
                <w:bCs/>
                <w:sz w:val="28"/>
                <w:szCs w:val="28"/>
                <w:lang w:bidi="ar-IQ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b/>
                <w:bCs/>
                <w:sz w:val="28"/>
                <w:szCs w:val="28"/>
                <w:lang w:bidi="ar-IQ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Simple stress and strain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F6E1B" w:rsidRPr="00932CE6" w:rsidTr="008E41E8">
        <w:trPr>
          <w:trHeight w:val="804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Types of reactor fuel 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F6E1B" w:rsidRPr="00932CE6" w:rsidTr="008E41E8">
        <w:trPr>
          <w:trHeight w:val="469"/>
        </w:trPr>
        <w:tc>
          <w:tcPr>
            <w:tcW w:w="1985" w:type="dxa"/>
            <w:vMerge w:val="restart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Hook’s law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F6E1B" w:rsidRPr="00932CE6" w:rsidTr="008E41E8">
        <w:trPr>
          <w:trHeight w:val="486"/>
        </w:trPr>
        <w:tc>
          <w:tcPr>
            <w:tcW w:w="1985" w:type="dxa"/>
            <w:vMerge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Classification of materials</w:t>
            </w:r>
          </w:p>
        </w:tc>
        <w:tc>
          <w:tcPr>
            <w:tcW w:w="993" w:type="dxa"/>
            <w:vMerge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F6E1B" w:rsidRPr="00932CE6" w:rsidTr="008E41E8">
        <w:trPr>
          <w:trHeight w:val="41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4F6E1B" w:rsidRPr="00932CE6" w:rsidRDefault="004F6E1B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Thermal stresses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F6E1B" w:rsidRPr="00932CE6" w:rsidTr="008E41E8">
        <w:trPr>
          <w:trHeight w:val="536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Cladding materials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F6E1B" w:rsidRPr="00932CE6" w:rsidTr="008E41E8">
        <w:trPr>
          <w:trHeight w:val="469"/>
        </w:trPr>
        <w:tc>
          <w:tcPr>
            <w:tcW w:w="1985" w:type="dxa"/>
            <w:vMerge w:val="restart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Thermal stresses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F6E1B" w:rsidRPr="00932CE6" w:rsidTr="008E41E8">
        <w:trPr>
          <w:trHeight w:val="486"/>
        </w:trPr>
        <w:tc>
          <w:tcPr>
            <w:tcW w:w="1985" w:type="dxa"/>
            <w:vMerge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Smart materials</w:t>
            </w:r>
          </w:p>
        </w:tc>
        <w:tc>
          <w:tcPr>
            <w:tcW w:w="993" w:type="dxa"/>
            <w:vMerge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CE63D5" w:rsidP="008E41E8">
            <w:pPr>
              <w:bidi w:val="0"/>
              <w:spacing w:after="200"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Bending stress</w:t>
            </w:r>
          </w:p>
          <w:p w:rsidR="00CE63D5" w:rsidRPr="00932CE6" w:rsidRDefault="00CE63D5" w:rsidP="008E41E8">
            <w:pPr>
              <w:bidi w:val="0"/>
              <w:spacing w:after="200"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Atomic structure in solid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F6E1B" w:rsidRPr="00932CE6" w:rsidTr="008E41E8">
        <w:trPr>
          <w:trHeight w:val="469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Types of beams</w:t>
            </w:r>
          </w:p>
          <w:p w:rsidR="004F6E1B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F6E1B" w:rsidRPr="00932CE6" w:rsidTr="008E41E8">
        <w:trPr>
          <w:trHeight w:val="804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Structure of crystalline solids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4F6E1B" w:rsidRPr="00932CE6" w:rsidRDefault="004F6E1B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672A4" w:rsidRPr="00932CE6" w:rsidTr="008E41E8">
        <w:trPr>
          <w:trHeight w:val="371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7672A4" w:rsidRPr="00932CE6" w:rsidRDefault="007672A4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72A4" w:rsidRPr="00932CE6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Shear stress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7672A4" w:rsidRPr="00932CE6" w:rsidTr="008E41E8">
        <w:trPr>
          <w:trHeight w:val="1222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Structure of crystalline solids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672A4" w:rsidRPr="00932CE6" w:rsidTr="008E41E8">
        <w:trPr>
          <w:trHeight w:val="435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Built-in beams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7672A4" w:rsidRPr="00932CE6" w:rsidTr="008E41E8">
        <w:trPr>
          <w:trHeight w:val="770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672A4" w:rsidRPr="00932CE6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Solidification and defects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C4314" w:rsidRPr="00932CE6" w:rsidTr="00BA5CD4">
        <w:trPr>
          <w:trHeight w:val="1087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4F6E1B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4F6E1B" w:rsidRPr="00932CE6" w:rsidRDefault="004F6E1B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Built-in beams</w:t>
            </w:r>
          </w:p>
          <w:p w:rsidR="004F6E1B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4D15AF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Solidification and defects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7672A4" w:rsidRPr="00932CE6" w:rsidTr="008E41E8">
        <w:trPr>
          <w:trHeight w:val="41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Shear stress distribution</w:t>
            </w:r>
          </w:p>
          <w:p w:rsidR="007672A4" w:rsidRPr="00932CE6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7672A4" w:rsidRPr="00932CE6" w:rsidTr="008E41E8">
        <w:trPr>
          <w:trHeight w:val="536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672A4" w:rsidRPr="00932CE6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Alloys and phase diagrams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7672A4" w:rsidRPr="00932CE6" w:rsidRDefault="007672A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Shear stress distribution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4D15AF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Alloys and phase diagrams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2huor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Torsion</w:t>
            </w:r>
            <w:r w:rsidR="009E3BCB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stress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4D15AF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Alloys and phase diagrams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Torsion</w:t>
            </w:r>
            <w:r w:rsidR="009E3BCB"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stress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4D15AF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Mechanical properties of metals and alloys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 xml:space="preserve">Thin cylinders 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D15AF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Mechanical properties of metals and alloys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BA149C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4D15AF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>Thin cylinders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C4314" w:rsidRPr="00932CE6" w:rsidRDefault="004D15AF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Semiconductors</w:t>
            </w:r>
            <w:r w:rsidR="007C4314" w:rsidRPr="00932CE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Examinations and 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32CE6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Three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Pr="00932CE6" w:rsidRDefault="009E3BC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Examination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7C431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7C431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</w:rPr>
              <w:t>Thick cylinders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D15AF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Organics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C4314" w:rsidRDefault="00FE31CD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Flange coupling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D15AF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Organics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56F64" w:rsidRDefault="00356F6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Flange coupling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C4314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Polymers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7672A4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7672A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56F6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Springs</w:t>
            </w:r>
          </w:p>
          <w:p w:rsidR="007672A4" w:rsidRDefault="007672A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C4314" w:rsidRPr="00932CE6" w:rsidRDefault="004F6E1B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Polymers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C4314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7C4314" w:rsidRPr="00932CE6" w:rsidRDefault="005977BD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lastRenderedPageBreak/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4314" w:rsidRPr="00932CE6" w:rsidRDefault="007B0721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</w:t>
            </w:r>
            <w:r w:rsidR="00BA149C" w:rsidRPr="00932CE6">
              <w:rPr>
                <w:b/>
                <w:bCs/>
                <w:sz w:val="28"/>
                <w:szCs w:val="28"/>
              </w:rPr>
              <w:t>s and Seminars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C4314" w:rsidRPr="00932CE6" w:rsidRDefault="007672A4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56F64" w:rsidRDefault="00356F64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Springs</w:t>
            </w:r>
          </w:p>
          <w:p w:rsidR="007C4314" w:rsidRPr="00932CE6" w:rsidRDefault="00FE31CD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Glass and fiber optics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C4314" w:rsidRPr="00932CE6" w:rsidRDefault="007C4314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8E41E8" w:rsidRPr="00932CE6" w:rsidTr="008E41E8">
        <w:trPr>
          <w:trHeight w:val="469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spacing w:after="2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Bending moment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8E41E8" w:rsidRPr="00932CE6" w:rsidTr="008E41E8">
        <w:trPr>
          <w:trHeight w:val="486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composites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519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Lecturers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spacing w:after="2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Bending moment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8E41E8" w:rsidRPr="00932CE6" w:rsidTr="008E41E8">
        <w:trPr>
          <w:trHeight w:val="430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composites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603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Shear force &amp; bending moment diagrams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8E41E8" w:rsidRPr="00932CE6" w:rsidTr="008E41E8">
        <w:trPr>
          <w:trHeight w:val="670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Composites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690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32CE6">
              <w:rPr>
                <w:b/>
                <w:bCs/>
                <w:sz w:val="28"/>
                <w:szCs w:val="28"/>
                <w:lang w:bidi="ar-IQ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spacing w:after="2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Shear force &amp; bending moment diagrams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8E41E8" w:rsidRPr="00932CE6" w:rsidTr="008E41E8">
        <w:trPr>
          <w:trHeight w:val="804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spacing w:after="2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Composites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653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BA5CD4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 xml:space="preserve">Examinations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Shear force &amp; bending moment diagrams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8E41E8" w:rsidRPr="00932CE6" w:rsidTr="008E41E8">
        <w:trPr>
          <w:trHeight w:val="871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41E8" w:rsidRDefault="008E41E8" w:rsidP="008E41E8">
            <w:pPr>
              <w:pStyle w:val="ListParagraph"/>
              <w:spacing w:after="20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Biomaterials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586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Lecturers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Shear force &amp; bending moment diagrams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8E41E8" w:rsidRPr="00932CE6" w:rsidTr="008E41E8">
        <w:trPr>
          <w:trHeight w:val="687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Magnetic materials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435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Deflection of beams</w:t>
            </w:r>
          </w:p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8E41E8" w:rsidRPr="00932CE6" w:rsidTr="008E41E8">
        <w:trPr>
          <w:trHeight w:val="519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Corrosion and erosion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284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0815A5" w:rsidP="000815A5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Lectures and Seminars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Slop of beams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932CE6">
              <w:rPr>
                <w:rFonts w:cs="Times New Roman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8E41E8" w:rsidRPr="00932CE6" w:rsidTr="008E41E8">
        <w:trPr>
          <w:trHeight w:val="988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Corrosion and erosion</w:t>
            </w: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E41E8" w:rsidRPr="00932CE6" w:rsidTr="008E41E8">
        <w:trPr>
          <w:trHeight w:val="368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:rsidR="008E41E8" w:rsidRPr="00932CE6" w:rsidRDefault="000815A5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41E8" w:rsidRPr="00932CE6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Deflection of beams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8E41E8" w:rsidRPr="00932CE6" w:rsidTr="008E41E8">
        <w:trPr>
          <w:trHeight w:val="772"/>
        </w:trPr>
        <w:tc>
          <w:tcPr>
            <w:tcW w:w="1985" w:type="dxa"/>
            <w:vMerge/>
            <w:shd w:val="clear" w:color="auto" w:fill="DBE5F1" w:themeFill="accent1" w:themeFillTint="33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8E41E8" w:rsidRPr="00932CE6" w:rsidRDefault="008E41E8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1hour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Corrosion and erosion</w:t>
            </w: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8E41E8" w:rsidRDefault="008E41E8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90FD2" w:rsidRPr="00932CE6" w:rsidTr="008E41E8">
        <w:trPr>
          <w:trHeight w:val="323"/>
        </w:trPr>
        <w:tc>
          <w:tcPr>
            <w:tcW w:w="1985" w:type="dxa"/>
            <w:shd w:val="clear" w:color="auto" w:fill="DBE5F1" w:themeFill="accent1" w:themeFillTint="33"/>
          </w:tcPr>
          <w:p w:rsidR="00590FD2" w:rsidRPr="00932CE6" w:rsidRDefault="00BA5CD4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  <w:r w:rsidRPr="00932CE6">
              <w:rPr>
                <w:b/>
                <w:bCs/>
                <w:sz w:val="28"/>
                <w:szCs w:val="28"/>
              </w:rPr>
              <w:t>Home Works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D2" w:rsidRPr="00932CE6" w:rsidRDefault="00590FD2" w:rsidP="008E41E8">
            <w:pPr>
              <w:shd w:val="clear" w:color="auto" w:fill="8DB3E2" w:themeFill="text2" w:themeFillTint="6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90FD2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2hour</w:t>
            </w:r>
          </w:p>
          <w:p w:rsidR="008E41E8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8E41E8" w:rsidRPr="00932CE6" w:rsidRDefault="008E41E8" w:rsidP="008E41E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1hour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90FD2" w:rsidRDefault="00590FD2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Deflection of beams</w:t>
            </w:r>
          </w:p>
          <w:p w:rsidR="008E41E8" w:rsidRDefault="008E41E8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E31CD" w:rsidRDefault="00FE31CD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Corrosion and erosion</w:t>
            </w:r>
          </w:p>
          <w:p w:rsidR="00590FD2" w:rsidRPr="00932CE6" w:rsidRDefault="00590FD2" w:rsidP="008E41E8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590FD2" w:rsidRDefault="00590FD2" w:rsidP="008E41E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</w:tr>
    </w:tbl>
    <w:p w:rsidR="002C72EF" w:rsidRPr="00932CE6" w:rsidRDefault="002C72EF" w:rsidP="002C72EF">
      <w:pPr>
        <w:shd w:val="clear" w:color="auto" w:fill="8DB3E2" w:themeFill="text2" w:themeFillTint="66"/>
        <w:rPr>
          <w:rFonts w:cs="Times New Roman"/>
          <w:b/>
          <w:bCs/>
          <w:vanish/>
          <w:sz w:val="28"/>
          <w:szCs w:val="28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B526A6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67817" w:rsidRPr="00BA149C" w:rsidRDefault="00F67817" w:rsidP="008E41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1- Text book</w:t>
            </w:r>
            <w:proofErr w:type="gramStart"/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:</w:t>
            </w:r>
            <w:r w:rsidR="008E41E8"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:</w:t>
            </w:r>
            <w:proofErr w:type="gramEnd"/>
            <w:r w:rsidR="008E41E8"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"Strength of Materials", by F. L. Singer and A. </w:t>
            </w:r>
            <w:proofErr w:type="spellStart"/>
            <w:r w:rsidR="008E41E8"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Pytel</w:t>
            </w:r>
            <w:proofErr w:type="spellEnd"/>
            <w:r w:rsidR="008E41E8"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,  3rdEdition, 2008</w:t>
            </w:r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.  </w:t>
            </w:r>
          </w:p>
          <w:p w:rsidR="00F67817" w:rsidRPr="00BA149C" w:rsidRDefault="00F67817" w:rsidP="008E41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2-Reference 1.</w:t>
            </w:r>
            <w:r w:rsidR="008E41E8"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"Mechanics of Materials", by E. J. Hearn, volume 1 , 2nd Edition, 1985</w:t>
            </w:r>
          </w:p>
          <w:p w:rsidR="002C72EF" w:rsidRPr="00BA149C" w:rsidRDefault="00F67817" w:rsidP="00F678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gramStart"/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3-  Reference</w:t>
            </w:r>
            <w:proofErr w:type="gramEnd"/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2: "Strength of Materials" by D. K. Singh , 2nd  Edition , 2009.</w:t>
            </w:r>
          </w:p>
          <w:p w:rsidR="00B77F6F" w:rsidRDefault="00B77F6F" w:rsidP="00B77F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4- Lecturers.</w:t>
            </w:r>
          </w:p>
          <w:p w:rsidR="008E41E8" w:rsidRDefault="008E41E8" w:rsidP="008E41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5-Text book 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Callister’sMaterials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science and engineering by William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D.Callister</w:t>
            </w:r>
            <w:proofErr w:type="spellEnd"/>
          </w:p>
          <w:p w:rsidR="008E41E8" w:rsidRPr="00D64113" w:rsidRDefault="008E41E8" w:rsidP="008E41E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Required reading:</w:t>
            </w:r>
          </w:p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·  CORE TEXTS</w:t>
            </w:r>
          </w:p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C4746F" w:rsidRDefault="00C4746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746F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Experimental and educational films video from websites.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BA149C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231F20"/>
                <w:sz w:val="28"/>
                <w:szCs w:val="28"/>
                <w:rtl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Special requirements (include for</w:t>
            </w:r>
            <w:r w:rsidR="00DC6606"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example workshops, </w:t>
            </w:r>
            <w:proofErr w:type="spellStart"/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periodicals,IT</w:t>
            </w:r>
            <w:proofErr w:type="spellEnd"/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Community-based facilities</w:t>
            </w:r>
          </w:p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internship,field</w:t>
            </w:r>
            <w:proofErr w:type="spellEnd"/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 xml:space="preserve">  studies</w:t>
            </w:r>
            <w:r w:rsidRPr="00BA149C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BA149C" w:rsidRDefault="000E3CD9" w:rsidP="004D0A6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Pass first</w:t>
            </w:r>
            <w:r w:rsidR="004D0A64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stage</w:t>
            </w:r>
            <w:r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in successful.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BA149C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Pre-requisites</w:t>
            </w:r>
          </w:p>
        </w:tc>
      </w:tr>
      <w:tr w:rsidR="002C72EF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BA149C" w:rsidRDefault="008E41E8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8</w:t>
            </w:r>
            <w:r w:rsidR="000E3CD9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students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C72EF" w:rsidRPr="00BA149C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BA149C" w:rsidRDefault="008E41E8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10</w:t>
            </w:r>
            <w:r w:rsidR="000E3CD9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students</w:t>
            </w:r>
          </w:p>
        </w:tc>
        <w:tc>
          <w:tcPr>
            <w:tcW w:w="3850" w:type="dxa"/>
            <w:shd w:val="clear" w:color="auto" w:fill="D3DFEE"/>
          </w:tcPr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color w:val="231F20"/>
                <w:sz w:val="28"/>
                <w:szCs w:val="28"/>
              </w:rPr>
            </w:pPr>
            <w:r w:rsidRPr="00BA14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C72EF" w:rsidRPr="00BA149C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BA149C" w:rsidRDefault="00EA3DC8" w:rsidP="00D5476D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Asst. Lecturer </w:t>
            </w:r>
            <w:proofErr w:type="spellStart"/>
            <w:r w:rsidR="00D5476D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Adawiya</w:t>
            </w:r>
            <w:proofErr w:type="spellEnd"/>
            <w:r w:rsidR="00D5476D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Ali </w:t>
            </w:r>
            <w:proofErr w:type="spellStart"/>
            <w:r w:rsidR="00D5476D" w:rsidRPr="00BA14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Hamzah</w:t>
            </w:r>
            <w:proofErr w:type="spellEnd"/>
          </w:p>
        </w:tc>
        <w:tc>
          <w:tcPr>
            <w:tcW w:w="3850" w:type="dxa"/>
            <w:shd w:val="clear" w:color="auto" w:fill="D3DFEE"/>
          </w:tcPr>
          <w:p w:rsidR="002C72EF" w:rsidRPr="00BA149C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BA149C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Pr="00BA149C" w:rsidRDefault="002C72EF" w:rsidP="002C72E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  <w:rPr>
          <w:b/>
          <w:bCs/>
        </w:rPr>
      </w:pPr>
      <w:r w:rsidRPr="00BA149C">
        <w:rPr>
          <w:b/>
          <w:bCs/>
        </w:rPr>
        <w:t>.++++</w:t>
      </w:r>
    </w:p>
    <w:p w:rsidR="002C72EF" w:rsidRDefault="002C72EF" w:rsidP="002C72EF">
      <w:pPr>
        <w:rPr>
          <w:rtl/>
          <w:lang w:bidi="ar-IQ"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56409A" w:rsidRDefault="0056409A">
      <w:pPr>
        <w:rPr>
          <w:lang w:bidi="ar-IQ"/>
        </w:rPr>
      </w:pPr>
    </w:p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8B" w:rsidRDefault="00A53D8B" w:rsidP="00BA149C">
      <w:r>
        <w:separator/>
      </w:r>
    </w:p>
  </w:endnote>
  <w:endnote w:type="continuationSeparator" w:id="0">
    <w:p w:rsidR="00A53D8B" w:rsidRDefault="00A53D8B" w:rsidP="00BA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8B" w:rsidRDefault="00A53D8B" w:rsidP="00BA149C">
      <w:r>
        <w:separator/>
      </w:r>
    </w:p>
  </w:footnote>
  <w:footnote w:type="continuationSeparator" w:id="0">
    <w:p w:rsidR="00A53D8B" w:rsidRDefault="00A53D8B" w:rsidP="00BA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201"/>
    <w:multiLevelType w:val="hybridMultilevel"/>
    <w:tmpl w:val="EBC482A6"/>
    <w:lvl w:ilvl="0" w:tplc="F336090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2260C"/>
    <w:multiLevelType w:val="hybridMultilevel"/>
    <w:tmpl w:val="C3FAEEF2"/>
    <w:lvl w:ilvl="0" w:tplc="DF0676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EF"/>
    <w:rsid w:val="000465D2"/>
    <w:rsid w:val="000644D4"/>
    <w:rsid w:val="000815A5"/>
    <w:rsid w:val="000823C7"/>
    <w:rsid w:val="000D0686"/>
    <w:rsid w:val="000E3CD9"/>
    <w:rsid w:val="00107F88"/>
    <w:rsid w:val="00121B7A"/>
    <w:rsid w:val="00123BC9"/>
    <w:rsid w:val="00144792"/>
    <w:rsid w:val="001614E0"/>
    <w:rsid w:val="001B050F"/>
    <w:rsid w:val="001D76BE"/>
    <w:rsid w:val="001F1FEE"/>
    <w:rsid w:val="001F6A30"/>
    <w:rsid w:val="00206364"/>
    <w:rsid w:val="002C72EF"/>
    <w:rsid w:val="00312114"/>
    <w:rsid w:val="00341DC3"/>
    <w:rsid w:val="003454FD"/>
    <w:rsid w:val="00356F64"/>
    <w:rsid w:val="00375E8F"/>
    <w:rsid w:val="00376699"/>
    <w:rsid w:val="003935F7"/>
    <w:rsid w:val="003B51FC"/>
    <w:rsid w:val="00411E0B"/>
    <w:rsid w:val="0042528A"/>
    <w:rsid w:val="00431A5D"/>
    <w:rsid w:val="0045534C"/>
    <w:rsid w:val="0046473A"/>
    <w:rsid w:val="004D0A64"/>
    <w:rsid w:val="004D13C0"/>
    <w:rsid w:val="004D15AF"/>
    <w:rsid w:val="004E7811"/>
    <w:rsid w:val="004F6E1B"/>
    <w:rsid w:val="00514175"/>
    <w:rsid w:val="0056106D"/>
    <w:rsid w:val="0056409A"/>
    <w:rsid w:val="00590FD2"/>
    <w:rsid w:val="00594BFE"/>
    <w:rsid w:val="005977BD"/>
    <w:rsid w:val="005D56E9"/>
    <w:rsid w:val="005E10F4"/>
    <w:rsid w:val="00634281"/>
    <w:rsid w:val="00644847"/>
    <w:rsid w:val="006516BF"/>
    <w:rsid w:val="00656695"/>
    <w:rsid w:val="00671898"/>
    <w:rsid w:val="00671B90"/>
    <w:rsid w:val="00674B9A"/>
    <w:rsid w:val="006C1EF5"/>
    <w:rsid w:val="006D2C89"/>
    <w:rsid w:val="006E2C5E"/>
    <w:rsid w:val="006F73FC"/>
    <w:rsid w:val="007672A4"/>
    <w:rsid w:val="007A2326"/>
    <w:rsid w:val="007A354D"/>
    <w:rsid w:val="007B0721"/>
    <w:rsid w:val="007C4314"/>
    <w:rsid w:val="007C72C0"/>
    <w:rsid w:val="007D52E2"/>
    <w:rsid w:val="008240ED"/>
    <w:rsid w:val="00826D74"/>
    <w:rsid w:val="00857A9B"/>
    <w:rsid w:val="00876185"/>
    <w:rsid w:val="0087733F"/>
    <w:rsid w:val="008B51C5"/>
    <w:rsid w:val="008E41E8"/>
    <w:rsid w:val="00924B01"/>
    <w:rsid w:val="00932CE6"/>
    <w:rsid w:val="0096127D"/>
    <w:rsid w:val="00985BED"/>
    <w:rsid w:val="009C4697"/>
    <w:rsid w:val="009E3BCB"/>
    <w:rsid w:val="00A53D8B"/>
    <w:rsid w:val="00AC24F6"/>
    <w:rsid w:val="00AC62D4"/>
    <w:rsid w:val="00AC75E3"/>
    <w:rsid w:val="00AE6F20"/>
    <w:rsid w:val="00B32ABE"/>
    <w:rsid w:val="00B7731F"/>
    <w:rsid w:val="00B77F6F"/>
    <w:rsid w:val="00BA149C"/>
    <w:rsid w:val="00BA5CD4"/>
    <w:rsid w:val="00BC1E59"/>
    <w:rsid w:val="00BD7A28"/>
    <w:rsid w:val="00BF5B79"/>
    <w:rsid w:val="00BF7A4A"/>
    <w:rsid w:val="00C35337"/>
    <w:rsid w:val="00C4746F"/>
    <w:rsid w:val="00C748F2"/>
    <w:rsid w:val="00C85320"/>
    <w:rsid w:val="00CA2FD6"/>
    <w:rsid w:val="00CB4B8E"/>
    <w:rsid w:val="00CC25F0"/>
    <w:rsid w:val="00CE63D5"/>
    <w:rsid w:val="00D05D47"/>
    <w:rsid w:val="00D14D3B"/>
    <w:rsid w:val="00D26898"/>
    <w:rsid w:val="00D53A10"/>
    <w:rsid w:val="00D5476D"/>
    <w:rsid w:val="00D94518"/>
    <w:rsid w:val="00DB48E7"/>
    <w:rsid w:val="00DC6606"/>
    <w:rsid w:val="00DF7F5A"/>
    <w:rsid w:val="00E30566"/>
    <w:rsid w:val="00E50369"/>
    <w:rsid w:val="00E91F33"/>
    <w:rsid w:val="00EA3DC8"/>
    <w:rsid w:val="00ED52D7"/>
    <w:rsid w:val="00F06CC6"/>
    <w:rsid w:val="00F140FA"/>
    <w:rsid w:val="00F67817"/>
    <w:rsid w:val="00F80A12"/>
    <w:rsid w:val="00FE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table" w:styleId="TableGrid">
    <w:name w:val="Table Grid"/>
    <w:basedOn w:val="TableNormal"/>
    <w:uiPriority w:val="59"/>
    <w:rsid w:val="006F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9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9C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3FB3-8085-46DB-AA54-7E639F4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Emad</cp:lastModifiedBy>
  <cp:revision>145</cp:revision>
  <dcterms:created xsi:type="dcterms:W3CDTF">2015-03-10T10:08:00Z</dcterms:created>
  <dcterms:modified xsi:type="dcterms:W3CDTF">2018-05-23T08:24:00Z</dcterms:modified>
</cp:coreProperties>
</file>