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0C411F" w:rsidP="000C41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التشريعات البترولية</w:t>
            </w:r>
            <w:r w:rsidR="00D13E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PETE112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F652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1727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91727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6E790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ساعة. 3 ساعات/اسبوع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6E7902" w:rsidRPr="00DB131F" w:rsidRDefault="006E7902" w:rsidP="001E1748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يهدف المقرر الى تزويد طلبة </w:t>
            </w:r>
            <w:r w:rsidR="001E17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الدبلوم العالي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E17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باهم التشريعات القانونية التي تخص الصناعة النفطية</w:t>
            </w:r>
            <w:r w:rsidR="00ED6DA5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3C65E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A44BA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659FC" w:rsidRPr="00DB131F" w:rsidRDefault="009659FC" w:rsidP="009F652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9F652C" w:rsidRDefault="00791E81" w:rsidP="009D175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5948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9D17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مفاصل الصناعة النفطية والقوانين التي تتعلق بها</w:t>
            </w:r>
          </w:p>
          <w:p w:rsidR="00921F80" w:rsidRPr="00DB131F" w:rsidRDefault="009F652C" w:rsidP="009D175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 الخاصة</w:t>
            </w:r>
          </w:p>
          <w:p w:rsidR="00791E81" w:rsidRPr="00DB131F" w:rsidRDefault="009F652C" w:rsidP="00901A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1A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الخلفية العلمية والمعرفية لمراحل الصناعة البترولية</w:t>
            </w:r>
          </w:p>
          <w:p w:rsidR="00791E81" w:rsidRPr="00DB131F" w:rsidRDefault="009F652C" w:rsidP="00901A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DB131F" w:rsidRDefault="009F652C" w:rsidP="00901A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4F62C9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المباشر, المناقشات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4F62C9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الشهرية 2- المشاركة والمناقشة اثناء المحاضرة 3- الواجبات 4- الامتحانات النهائية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01A6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901A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01A6B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901A6B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الهيكل التفصيلي للسلطات التشريعية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901A6B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السلطات التشريعية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01A6B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6-8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01A6B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C355CA" w:rsidRDefault="00901A6B" w:rsidP="009659FC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التشريعات ضمن الدستور العراقي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C355CA" w:rsidRDefault="00901A6B" w:rsidP="00E21623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التشريعات الدستورية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01A6B" w:rsidP="00901A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01A6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01A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  <w:r w:rsidR="00901A6B">
              <w:rPr>
                <w:rFonts w:ascii="Cambria" w:hAnsi="Cambria" w:cs="Times New Roman" w:hint="cs"/>
                <w:color w:val="000000"/>
                <w:rtl/>
                <w:lang w:bidi="ar-IQ"/>
              </w:rPr>
              <w:t>قانون النفط والغاز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01A6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قانون النفط والغاز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01A6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12-15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01A6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901A6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التشريعات  المرافقة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901A6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تشريعات مرتبطة بالتشريعات البترولية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E857C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3681"/>
        <w:gridCol w:w="1488"/>
      </w:tblGrid>
      <w:tr w:rsidR="009659FC" w:rsidRPr="00DB131F" w:rsidTr="00106480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06480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8463F5" w:rsidP="001062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الكتاب المقرر: </w:t>
            </w:r>
            <w:r w:rsidR="00106211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Petroleum legislation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7D2095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بكلوريوس هندسة نفط</w:t>
            </w:r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D259E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D259E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  <w:bookmarkStart w:id="0" w:name="_GoBack"/>
            <w:bookmarkEnd w:id="0"/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83" w:rsidRDefault="00146F83" w:rsidP="00791E81">
      <w:r>
        <w:separator/>
      </w:r>
    </w:p>
  </w:endnote>
  <w:endnote w:type="continuationSeparator" w:id="0">
    <w:p w:rsidR="00146F83" w:rsidRDefault="00146F83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83" w:rsidRDefault="00146F83" w:rsidP="00791E81">
      <w:r>
        <w:separator/>
      </w:r>
    </w:p>
  </w:footnote>
  <w:footnote w:type="continuationSeparator" w:id="0">
    <w:p w:rsidR="00146F83" w:rsidRDefault="00146F83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851BE"/>
    <w:rsid w:val="000C411F"/>
    <w:rsid w:val="00106211"/>
    <w:rsid w:val="00106480"/>
    <w:rsid w:val="00116FC3"/>
    <w:rsid w:val="00146F83"/>
    <w:rsid w:val="001614DD"/>
    <w:rsid w:val="001D259E"/>
    <w:rsid w:val="001E1748"/>
    <w:rsid w:val="00275C9E"/>
    <w:rsid w:val="00282545"/>
    <w:rsid w:val="003C65E7"/>
    <w:rsid w:val="004A771A"/>
    <w:rsid w:val="004F62C9"/>
    <w:rsid w:val="00510B77"/>
    <w:rsid w:val="0053603B"/>
    <w:rsid w:val="0057765E"/>
    <w:rsid w:val="005948F1"/>
    <w:rsid w:val="005A44BA"/>
    <w:rsid w:val="00641A12"/>
    <w:rsid w:val="0065256C"/>
    <w:rsid w:val="00677E26"/>
    <w:rsid w:val="0069675E"/>
    <w:rsid w:val="006E7902"/>
    <w:rsid w:val="00703586"/>
    <w:rsid w:val="00791E81"/>
    <w:rsid w:val="007D2095"/>
    <w:rsid w:val="008463F5"/>
    <w:rsid w:val="00901A6B"/>
    <w:rsid w:val="0090592A"/>
    <w:rsid w:val="00917276"/>
    <w:rsid w:val="00921F80"/>
    <w:rsid w:val="009659FC"/>
    <w:rsid w:val="009B0D71"/>
    <w:rsid w:val="009D1758"/>
    <w:rsid w:val="009F652C"/>
    <w:rsid w:val="00A573A3"/>
    <w:rsid w:val="00AD1424"/>
    <w:rsid w:val="00AE6BE3"/>
    <w:rsid w:val="00C355CA"/>
    <w:rsid w:val="00C54B39"/>
    <w:rsid w:val="00C71ED8"/>
    <w:rsid w:val="00D13E49"/>
    <w:rsid w:val="00D44BF7"/>
    <w:rsid w:val="00D86718"/>
    <w:rsid w:val="00D926FC"/>
    <w:rsid w:val="00DC514E"/>
    <w:rsid w:val="00E21623"/>
    <w:rsid w:val="00E857C4"/>
    <w:rsid w:val="00E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Hayder</cp:lastModifiedBy>
  <cp:revision>20</cp:revision>
  <dcterms:created xsi:type="dcterms:W3CDTF">2018-05-16T08:38:00Z</dcterms:created>
  <dcterms:modified xsi:type="dcterms:W3CDTF">2018-06-03T22:19:00Z</dcterms:modified>
</cp:coreProperties>
</file>