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413D" w14:textId="77777777"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14:paraId="753B81F8" w14:textId="77777777"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14:paraId="06F60BDF" w14:textId="21131004" w:rsidR="00CE5DB5" w:rsidRPr="00CE5DB5" w:rsidRDefault="00CE5DB5" w:rsidP="00E039D9">
      <w:pPr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  <w:r w:rsidR="003E5A9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 xml:space="preserve"> مادة </w:t>
      </w:r>
      <w:r w:rsidR="00C33CBF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الادارة البيئية</w:t>
      </w:r>
      <w:r w:rsidR="00032232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="003E5A9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 xml:space="preserve">للمرحلة </w:t>
      </w:r>
      <w:r w:rsidR="00032232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الرابعة</w:t>
      </w:r>
      <w:r w:rsidR="003E5A9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="00E039D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قسم هندسة البيئة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14:paraId="0B81DC75" w14:textId="77777777" w:rsidTr="0039297B">
        <w:trPr>
          <w:trHeight w:val="794"/>
        </w:trPr>
        <w:tc>
          <w:tcPr>
            <w:tcW w:w="9720" w:type="dxa"/>
            <w:shd w:val="clear" w:color="auto" w:fill="auto"/>
          </w:tcPr>
          <w:p w14:paraId="24DE9EE1" w14:textId="680532ED" w:rsidR="00CE5DB5" w:rsidRPr="005B20C7" w:rsidRDefault="006865EA" w:rsidP="008D17C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يقدم هذا المقرر المعرفه </w:t>
            </w:r>
            <w:r w:rsidRPr="006865E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كاملة</w:t>
            </w:r>
            <w:r w:rsidR="00CB267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33CB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بالادارة البيئية </w:t>
            </w:r>
            <w:r w:rsid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ناحية</w:t>
            </w:r>
            <w:r w:rsidR="00996FD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الطرق الحديثة المستخدمة في ادارة النفايات والمطروحات من مختلف الصناعات وطرق</w:t>
            </w:r>
            <w:r w:rsid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96FD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تقرير الاثر البيئي</w:t>
            </w:r>
            <w:r w:rsid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96FD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للنشاط معين قبل وبعد الانشاء </w:t>
            </w:r>
            <w:r w:rsid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96FD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وبرامج مراقبة</w:t>
            </w:r>
            <w:r w:rsid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الملوثات الموجودة في كل من الهواء, التربة, المياه </w:t>
            </w:r>
          </w:p>
        </w:tc>
      </w:tr>
    </w:tbl>
    <w:p w14:paraId="0FF32942" w14:textId="516CD78A" w:rsidR="00CE5DB5" w:rsidRPr="00E039D9" w:rsidRDefault="005B20C7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E039D9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>أعداد ا</w:t>
      </w:r>
      <w:r w:rsidR="006865EA" w:rsidRPr="00E039D9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 xml:space="preserve">لدرس: أ.د. </w:t>
      </w:r>
      <w:r w:rsidR="008D17C0" w:rsidRPr="00E039D9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 xml:space="preserve">مهند جاسم محمد رضا 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14:paraId="0D1B6F1A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E8277A7" w14:textId="77777777"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E354816" w14:textId="77777777"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14:paraId="35B4ACD4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81FCB4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5C87170" w14:textId="77777777"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14:paraId="155FDA04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F57245E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D1B24CD" w14:textId="7B9BFE55" w:rsidR="00CE5DB5" w:rsidRPr="00A35803" w:rsidRDefault="00996FD6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الادارة البيئية</w:t>
            </w:r>
          </w:p>
        </w:tc>
      </w:tr>
      <w:tr w:rsidR="00CE5DB5" w:rsidRPr="00CE5DB5" w14:paraId="20E090F7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93B8394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B337A1E" w14:textId="77DADE6A" w:rsidR="00CE5DB5" w:rsidRPr="00A35803" w:rsidRDefault="00996FD6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</w:t>
            </w:r>
            <w:r w:rsidR="00032232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ب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الاسبوع الكتروني</w:t>
            </w:r>
          </w:p>
        </w:tc>
      </w:tr>
      <w:tr w:rsidR="00CE5DB5" w:rsidRPr="00CE5DB5" w14:paraId="272F738B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22612D1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9ACD9E1" w14:textId="02ADB28F" w:rsidR="00CE5DB5" w:rsidRPr="00A35803" w:rsidRDefault="00996FD6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14:paraId="58CC0F91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2705710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C8EA2A" w14:textId="2EB20990" w:rsidR="00CE5DB5" w:rsidRPr="00A35803" w:rsidRDefault="00996FD6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6</w:t>
            </w:r>
            <w:r w:rsidR="00032232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0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E5DB5" w:rsidRPr="00CE5DB5" w14:paraId="6AB6276B" w14:textId="77777777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277E245D" w14:textId="77777777"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D45D2D6" w14:textId="78AACF31" w:rsidR="00CE5DB5" w:rsidRPr="00A35803" w:rsidRDefault="00A35803" w:rsidP="00462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</w:t>
            </w:r>
            <w:r w:rsidR="008D17C0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-202</w:t>
            </w:r>
            <w:r w:rsidR="008D17C0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E5DB5" w:rsidRPr="00CE5DB5" w14:paraId="1DA27287" w14:textId="77777777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69131F3E" w14:textId="77777777"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14:paraId="3709AF51" w14:textId="77777777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C10792F" w14:textId="68359DBE" w:rsidR="009F531C" w:rsidRDefault="00335D25" w:rsidP="000322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الطلبه بالمواضيع</w:t>
            </w:r>
            <w:r w:rsidR="009F531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الاساسيه التي تخص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 البيئية</w:t>
            </w:r>
            <w:r w:rsidR="00032232" w:rsidRP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F531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وهي كالتالي:</w:t>
            </w:r>
            <w:r w:rsidR="009F531C"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</w:p>
          <w:p w14:paraId="1F05FF9B" w14:textId="4BBCDA49" w:rsidR="00CE5DB5" w:rsidRPr="009F531C" w:rsidRDefault="00BC07E4" w:rsidP="009F53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نظام الادارة البيئية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EMS</w:t>
            </w:r>
            <w:r w:rsidR="009F531C" w:rsidRPr="009F531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442B96C7" w14:textId="73A8A465" w:rsidR="009F531C" w:rsidRPr="00335D25" w:rsidRDefault="00BC07E4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الية التطوير المستمر لنظم الادارة البيئية</w:t>
            </w:r>
          </w:p>
          <w:p w14:paraId="57443658" w14:textId="14CFBECE" w:rsidR="00335D25" w:rsidRPr="00335D25" w:rsidRDefault="00BC07E4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خصائص ومزايا الادارة البيئية على المدى البعيد</w:t>
            </w:r>
          </w:p>
          <w:p w14:paraId="6EE5B6F1" w14:textId="3C646CA4" w:rsidR="00335D25" w:rsidRPr="00335D25" w:rsidRDefault="00BC07E4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الاستدامة البيئية وعلاقتها لكل من الجانب البيئي والمجتمعي والاقتصادي</w:t>
            </w:r>
          </w:p>
          <w:p w14:paraId="52051C5A" w14:textId="77777777" w:rsidR="00BC07E4" w:rsidRPr="00BC07E4" w:rsidRDefault="00BC07E4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C07E4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lang w:bidi="ar-IQ"/>
              </w:rPr>
              <w:t>The ISO 14001 EMS Model</w:t>
            </w:r>
          </w:p>
          <w:p w14:paraId="7F25D0D9" w14:textId="641B01A4" w:rsidR="008D17C0" w:rsidRPr="00BC07E4" w:rsidRDefault="00BC07E4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التشريعات البيئية العراقية لمختلف الصناعات قبل وبعد قيام النشاط</w:t>
            </w:r>
          </w:p>
          <w:p w14:paraId="7B1AE8C3" w14:textId="3EEC5A1D" w:rsidR="00BC07E4" w:rsidRPr="00032232" w:rsidRDefault="00BC07E4" w:rsidP="00335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الية واسلوب كتابة تقرير الاثر البيئي </w:t>
            </w:r>
            <w:r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lang w:bidi="ar-IQ"/>
              </w:rPr>
              <w:t>EIA</w:t>
            </w:r>
          </w:p>
          <w:p w14:paraId="6AAF0ED7" w14:textId="3E77CA39" w:rsidR="00032232" w:rsidRDefault="00032232" w:rsidP="000322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1495B983" w14:textId="77777777" w:rsidR="00032232" w:rsidRPr="00032232" w:rsidRDefault="00032232" w:rsidP="000322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14:paraId="685DDAC5" w14:textId="77777777" w:rsidR="00E039D9" w:rsidRDefault="00E039D9" w:rsidP="00E039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28A9CD03" w14:textId="77777777" w:rsidR="00E039D9" w:rsidRDefault="00E039D9" w:rsidP="00E039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2085C059" w14:textId="77777777" w:rsidR="00E039D9" w:rsidRDefault="00E039D9" w:rsidP="00E039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7DA827BE" w14:textId="152AA843" w:rsidR="00E039D9" w:rsidRPr="00E039D9" w:rsidRDefault="00E039D9" w:rsidP="00E039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99783AE" w14:textId="77777777"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14:paraId="5BDD88A2" w14:textId="77777777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14A3681B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14:paraId="3EC31128" w14:textId="77777777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5CCF8ADD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1539EBF" w14:textId="648E3CDD" w:rsidR="00032232" w:rsidRDefault="00CE5DB5" w:rsidP="00032232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أن يكون لدى الطلاب فكرة واضحة عن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 البيئية</w:t>
            </w:r>
            <w:r w:rsid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وطرق</w:t>
            </w:r>
            <w:r w:rsid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الاستفادة من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 البيئية</w:t>
            </w:r>
            <w:r w:rsidR="0003223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لايجاد الحلول البيئية للمشاكل البيئية المختلفة</w:t>
            </w:r>
          </w:p>
          <w:p w14:paraId="5BBA8BAD" w14:textId="4C9B980E" w:rsidR="00956906" w:rsidRPr="00B623B0" w:rsidRDefault="00956906" w:rsidP="00032232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أ2-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إيجاد الحلول المناسبة لجميع أنواع مشاكل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 واسلوب تطوير الصناعات المختلفة وتقليل الكلفة والانبعاثات من خلال الادارة البيئية</w:t>
            </w:r>
          </w:p>
          <w:p w14:paraId="1E8D44F1" w14:textId="7EE0E9EE" w:rsidR="00B623B0" w:rsidRPr="00B623B0" w:rsidRDefault="00CE5DB5" w:rsidP="00956906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95690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المهنية.</w:t>
            </w:r>
            <w:r w:rsidR="00D961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اعداد الجيد للطالب من حيث امكانية عمله في القطاع العام والخاص</w:t>
            </w:r>
          </w:p>
          <w:p w14:paraId="2C9A83E7" w14:textId="77777777" w:rsidR="00CE5DB5" w:rsidRPr="00CE5DB5" w:rsidRDefault="00CE5DB5" w:rsidP="00B6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6E3F1E22" w14:textId="77777777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5C75F602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46B99B2" w14:textId="7A2C7775" w:rsidR="00956906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فهم القضايا الصحية والبيئية </w:t>
            </w:r>
            <w:r w:rsidR="00D961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بمختلف انواعها ومصادرها</w:t>
            </w:r>
            <w:r w:rsidR="00D12FA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وامكانية ادخالها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والتشريعات</w:t>
            </w:r>
          </w:p>
          <w:p w14:paraId="1EF41BE1" w14:textId="780998F3"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تطبيق المفاهيم البيئية في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الاستدامة المستمرة</w:t>
            </w:r>
          </w:p>
          <w:p w14:paraId="15DE54E4" w14:textId="6D325A0C" w:rsidR="00956906" w:rsidRPr="0046237F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ب3-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التركيز على البحث العلمي ودوره الريادي في خدمة المجتمع وحل مشكلاته من خلال إجراء البحوث التطبيقية</w:t>
            </w:r>
            <w:r w:rsidR="00D12FA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وعمل تقارير وخرائط بيئية باستخدام برنامج نظم المعلومات الجغرافية</w:t>
            </w:r>
          </w:p>
          <w:p w14:paraId="0D6B739E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14:paraId="263975F7" w14:textId="77777777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673DEDD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14:paraId="773A590A" w14:textId="77777777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056F489F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9419E9B" w14:textId="77777777"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14:paraId="056E658C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2B1B26BC" w14:textId="77777777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1476C2C8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14:paraId="03E80BE4" w14:textId="77777777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BA9B6FD" w14:textId="77777777"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  <w:p w14:paraId="48DDE6B2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0904AB93" w14:textId="77777777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781CD968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6DC3051F" w14:textId="414E9975" w:rsidR="00D9610D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56906">
              <w:rPr>
                <w:rtl/>
              </w:rPr>
              <w:t xml:space="preserve"> 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تطوير المفاهيم البيئية ، بما في ذلك الحفاظ على المياه </w:t>
            </w:r>
            <w:r w:rsidR="00D12FA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والترب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D12FA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مراقبة الملوثات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وايجاد الحلول المناسبة</w:t>
            </w:r>
          </w:p>
          <w:p w14:paraId="05CD51BD" w14:textId="77A771BB" w:rsid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 الطلاب لمهن ناجحة في الهندسة البيئية</w:t>
            </w:r>
          </w:p>
          <w:p w14:paraId="30C562F4" w14:textId="77777777" w:rsidR="00956906" w:rsidRDefault="00956906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ج2-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نشر الوعي البيئي في المجتمع ومحاولة المساهمة في الحفاظ على البيئة</w:t>
            </w:r>
          </w:p>
          <w:p w14:paraId="4D71277C" w14:textId="4636B584" w:rsidR="00CE5DB5" w:rsidRPr="00CE5DB5" w:rsidRDefault="00956906" w:rsidP="00BC07E4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ج3- </w:t>
            </w:r>
            <w:r>
              <w:rPr>
                <w:rtl/>
              </w:rPr>
              <w:t xml:space="preserve">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إعداد الطلاب ل</w:t>
            </w:r>
            <w:r w:rsidR="00D961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سوق العمل من خلال المعرفة في </w:t>
            </w:r>
            <w:r w:rsidR="00D12FA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مراقبة الملوثات لكل من التربة والمياه من خلال </w:t>
            </w:r>
            <w:r w:rsidR="00BC07E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الطلاب على العمل كمدقق بيئي وعمل تقرير الاثر البيئي</w:t>
            </w:r>
          </w:p>
        </w:tc>
      </w:tr>
      <w:tr w:rsidR="00CE5DB5" w:rsidRPr="00CE5DB5" w14:paraId="3854954D" w14:textId="77777777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1336CC9E" w14:textId="77777777"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CE5DB5" w:rsidRPr="00CE5DB5" w14:paraId="1130CE15" w14:textId="77777777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FF084E4" w14:textId="77777777"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14:paraId="6926D11A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01C143E2" w14:textId="77777777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185EA3DE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14:paraId="34B70678" w14:textId="77777777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E55EC79" w14:textId="77777777"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14:paraId="715DC0B6" w14:textId="77777777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14:paraId="041B259A" w14:textId="77777777" w:rsidTr="0046237F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14:paraId="6C800946" w14:textId="6BDC4D2C"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06F0C0EA" w14:textId="77777777" w:rsidR="00CE5DB5" w:rsidRPr="0046237F" w:rsidRDefault="00CE5DB5" w:rsidP="00E039D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كن أكثر فاعلية واستقلالية وثقة في المتعلمين ذاتي التوجيه</w:t>
            </w:r>
          </w:p>
          <w:p w14:paraId="5D25757F" w14:textId="77777777" w:rsidR="0046237F" w:rsidRDefault="00CE5DB5" w:rsidP="00E039D9">
            <w:pPr>
              <w:pStyle w:val="HTMLPreformatted"/>
              <w:shd w:val="clear" w:color="auto" w:fill="F8F9FA"/>
              <w:spacing w:line="480" w:lineRule="atLeast"/>
              <w:ind w:left="8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956906"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تحسين مهاراتهم العامة للدراسة وإدارة الحياة المهنية</w:t>
            </w:r>
          </w:p>
          <w:p w14:paraId="01197497" w14:textId="77777777" w:rsidR="00956906" w:rsidRDefault="00956906" w:rsidP="00E039D9">
            <w:pPr>
              <w:pStyle w:val="HTMLPreformatted"/>
              <w:shd w:val="clear" w:color="auto" w:fill="F8F9FA"/>
              <w:spacing w:line="480" w:lineRule="atLeast"/>
              <w:ind w:left="8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د3-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توضيح الأهداف الشخصية وتقييم التقدم نحو تحقيقها</w:t>
            </w:r>
          </w:p>
          <w:p w14:paraId="489A641A" w14:textId="5DF9286A" w:rsidR="00956906" w:rsidRPr="0046237F" w:rsidRDefault="00956906" w:rsidP="00E039D9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Pr="0095690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القدرة على تحديد وصياغة وحل المشكلات الهندسية</w:t>
            </w:r>
          </w:p>
          <w:p w14:paraId="65FF0978" w14:textId="77777777" w:rsidR="00CE5DB5" w:rsidRPr="00CE5DB5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207E32BB" w14:textId="77777777"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4F4D83" w14:paraId="004325FC" w14:textId="77777777" w:rsidTr="004F4D83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246CE2BD" w14:textId="77777777" w:rsidR="00CE5DB5" w:rsidRPr="004F4D83" w:rsidRDefault="00CE5DB5" w:rsidP="004F4D83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4F4D83" w14:paraId="1A44D421" w14:textId="77777777" w:rsidTr="004F4D83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2B14E64D" w14:textId="77777777" w:rsidR="00CE5DB5" w:rsidRPr="004F4D83" w:rsidRDefault="00CE5DB5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D3E2D3" w14:textId="77777777" w:rsidR="00CE5DB5" w:rsidRPr="004F4D83" w:rsidRDefault="00CE5DB5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AB1B27C" w14:textId="77777777" w:rsidR="00CE5DB5" w:rsidRPr="004F4D83" w:rsidRDefault="00CE5DB5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192639" w14:textId="77777777" w:rsidR="00CE5DB5" w:rsidRPr="004F4D83" w:rsidRDefault="00CE5DB5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DC371D" w14:textId="77777777" w:rsidR="00CE5DB5" w:rsidRPr="004F4D83" w:rsidRDefault="00CE5DB5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3B4EA4" w14:textId="77777777" w:rsidR="00CE5DB5" w:rsidRPr="004F4D83" w:rsidRDefault="00CE5DB5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3E5A98" w:rsidRPr="004F4D83" w14:paraId="7509DC08" w14:textId="77777777" w:rsidTr="004F4D83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14:paraId="5D8AB4B4" w14:textId="77777777" w:rsidR="003E5A98" w:rsidRPr="004F4D83" w:rsidRDefault="003E5A98" w:rsidP="004F4D8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433881" w14:textId="5CEE3E03" w:rsidR="003E5A98" w:rsidRPr="004F4D83" w:rsidRDefault="00BC07E4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DB81E9" w14:textId="712E1A85" w:rsidR="003E5A98" w:rsidRPr="004F4D83" w:rsidRDefault="003E5A98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138157" w14:textId="77777777" w:rsidR="003E5A98" w:rsidRPr="004F4D83" w:rsidRDefault="003E5A98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55BB33" w14:textId="77777777" w:rsidR="003E5A98" w:rsidRPr="004F4D83" w:rsidRDefault="003E5A98" w:rsidP="004F4D8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FB7024" w14:textId="3B6B84AF" w:rsidR="003E5A98" w:rsidRPr="004F4D83" w:rsidRDefault="003E5A98" w:rsidP="004F4D8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</w:t>
            </w:r>
          </w:p>
        </w:tc>
      </w:tr>
      <w:tr w:rsidR="004F4D83" w:rsidRPr="004F4D83" w14:paraId="4A5998E0" w14:textId="77777777" w:rsidTr="004F4D83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14:paraId="164B1FA3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096616" w14:textId="336B07DD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9E4AD6" w14:textId="6D5D7D31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Environmental management system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A9BC59" w14:textId="3698C101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Environmental management system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AB7C8B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D5D502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46EC94D9" w14:textId="77777777" w:rsidTr="004F4D83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14:paraId="6A4A999F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F45735" w14:textId="67EDE9A2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C25C0E" w14:textId="17FB9BF2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PDCA cycle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5249B9" w14:textId="2A9A401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PDCA cycle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E3005E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91FEE6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F6EB39F" w14:textId="77777777" w:rsidTr="004F4D83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14:paraId="7D1713C2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5DEBE4" w14:textId="144E19C6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2F71C1" w14:textId="6FB7392D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environmental management plan process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2BD08D" w14:textId="63195C7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environmental management plan process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ECB074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3A161B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D091851" w14:textId="77777777" w:rsidTr="004F4D83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14:paraId="74ED9BDF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81B44B" w14:textId="031CBA12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EE8BDF" w14:textId="07651C7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Characteristics of Environmental Management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78AFB2" w14:textId="4D01FEF6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Characteristics of Environmental Management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F916A7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E70073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6ECFADC9" w14:textId="77777777" w:rsidTr="004F4D83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14:paraId="00F69B6B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B50FFF" w14:textId="26645AB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335EFD" w14:textId="5EFD61CD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Integrated waste management plant process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CFDB7A" w14:textId="399DD921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Integrated waste management plant process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3A50E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80086A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27623F15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04AEBC9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4449EC" w14:textId="5D95D28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D4BCA5" w14:textId="779F90C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Eco-management and audit scheme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5604F1" w14:textId="3F82925D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Eco-management and audit scheme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088D2E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1D12AC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9C50DA8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7F1ABFFF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44A2C1" w14:textId="2B290174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424AF8A" w14:textId="79A26672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ISO 14001 EMS Model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E6F0A6A" w14:textId="664111EE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ISO 14001 EMS Model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EF50B5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F8258B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0A53DF9D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7A99670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FD0732" w14:textId="5993EA3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90A186E" w14:textId="3EBAE7F1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ISO 14001 Seventeen Elements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357F2D4" w14:textId="2360ECF5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ISO 14001 Seventeen Elements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0B71B3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15D331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6D604093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4EB63139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8B3179" w14:textId="36A22B3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CF5B9A8" w14:textId="0F35D2B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Levels of EMS Implementation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9E065E7" w14:textId="1EE1F45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Levels of EMS Implementation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B24322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C63EB3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BC07E4" w:rsidRPr="004F4D83" w14:paraId="7021BB86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209A48A8" w14:textId="77777777" w:rsidR="00BC07E4" w:rsidRPr="004F4D83" w:rsidRDefault="00BC07E4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E2153E" w14:textId="5E6E1DCF" w:rsidR="00BC07E4" w:rsidRPr="004F4D83" w:rsidRDefault="00BC07E4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155DEEA" w14:textId="51EB5B19" w:rsidR="00BC07E4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655865B" w14:textId="5D67DECF" w:rsidR="00BC07E4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10389B" w14:textId="77777777" w:rsidR="00BC07E4" w:rsidRPr="004F4D83" w:rsidRDefault="00BC07E4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58938F" w14:textId="77777777" w:rsidR="00BC07E4" w:rsidRPr="004F4D83" w:rsidRDefault="00BC07E4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090CAEE8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5923F711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CA3CE3" w14:textId="0F779F00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08EB805" w14:textId="2C11316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Estimate Costs and Benefits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E364C57" w14:textId="2AA0689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Estimate Costs and Benefits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1B8C1C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DAD43A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66E0BBFE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469EBB3E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8225DE" w14:textId="65F94ADF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5F3A883" w14:textId="74DB9B4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Four-Phase EMS Implementation Plan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F9494E3" w14:textId="27E15BE6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The Four-Phase EMS Implementation Plan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20A681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A054C5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525A9F75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5698E27A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354F0B" w14:textId="2F4E1E61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22621FB" w14:textId="0B8F3D55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ISO 14001,</w:t>
            </w:r>
            <w:r w:rsidRPr="004F4D83">
              <w:rPr>
                <w:sz w:val="24"/>
                <w:szCs w:val="24"/>
                <w:lang w:bidi="ar-IQ"/>
              </w:rPr>
              <w:t xml:space="preserve"> </w:t>
            </w:r>
            <w:r w:rsidRPr="004F4D83">
              <w:rPr>
                <w:sz w:val="24"/>
                <w:szCs w:val="24"/>
                <w:lang w:bidi="ar-IQ"/>
              </w:rPr>
              <w:t>ISO 14015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BF24A83" w14:textId="113090E4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ISO 14001,</w:t>
            </w:r>
            <w:r w:rsidRPr="004F4D83">
              <w:rPr>
                <w:sz w:val="24"/>
                <w:szCs w:val="24"/>
                <w:lang w:bidi="ar-IQ"/>
              </w:rPr>
              <w:t xml:space="preserve"> </w:t>
            </w:r>
            <w:r w:rsidRPr="004F4D83">
              <w:rPr>
                <w:sz w:val="24"/>
                <w:szCs w:val="24"/>
                <w:lang w:bidi="ar-IQ"/>
              </w:rPr>
              <w:t>ISO 14015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21637F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F2EC29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61587A2F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79A43F0A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136649" w14:textId="3764139C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14:paraId="21245874" w14:textId="77777777" w:rsidR="004F4D83" w:rsidRPr="004F4D83" w:rsidRDefault="004F4D83" w:rsidP="004F4D8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ISO 14020</w:t>
            </w:r>
          </w:p>
          <w:p w14:paraId="5C47B78A" w14:textId="0A62144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ISO 14021</w:t>
            </w:r>
          </w:p>
        </w:tc>
        <w:tc>
          <w:tcPr>
            <w:tcW w:w="2160" w:type="dxa"/>
            <w:vAlign w:val="center"/>
          </w:tcPr>
          <w:p w14:paraId="5B0FF0CC" w14:textId="77777777" w:rsidR="004F4D83" w:rsidRPr="004F4D83" w:rsidRDefault="004F4D83" w:rsidP="004F4D8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ISO 14020</w:t>
            </w:r>
          </w:p>
          <w:p w14:paraId="46590BBD" w14:textId="4FEAD4E0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ISO 14021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242CFF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DF1C96" w14:textId="777777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68C11263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6F4DC25C" w14:textId="72E4BAA2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264400" w14:textId="1700DA6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14:paraId="780B8226" w14:textId="0F33385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life-cycle assessment</w:t>
            </w:r>
          </w:p>
        </w:tc>
        <w:tc>
          <w:tcPr>
            <w:tcW w:w="2160" w:type="dxa"/>
            <w:vAlign w:val="center"/>
          </w:tcPr>
          <w:p w14:paraId="6C8CD6F3" w14:textId="3B0566AE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life-cycle assessment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1F1EE3" w14:textId="683D95C2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F0D8FC" w14:textId="03144645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389F581E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56AB0153" w14:textId="58DDC1E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5E9E5F" w14:textId="16C7F9E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14:paraId="3DEE9ED1" w14:textId="5940EB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life-cycle assessment</w:t>
            </w:r>
          </w:p>
        </w:tc>
        <w:tc>
          <w:tcPr>
            <w:tcW w:w="2160" w:type="dxa"/>
            <w:vAlign w:val="center"/>
          </w:tcPr>
          <w:p w14:paraId="064F9EF5" w14:textId="2A960E4C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life-cycle assessment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91C71D" w14:textId="1DA723B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908085" w14:textId="3BD872B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5F628FB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2E94E6C6" w14:textId="0307CF86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660815" w14:textId="10CA4A1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250D269" w14:textId="1A6A3930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Environmental Design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1A4FC9B" w14:textId="7820B901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  <w:lang w:bidi="ar-IQ"/>
              </w:rPr>
              <w:t>Environmental Design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7BA6D1" w14:textId="3012276E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B77F8" w14:textId="79B50841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4331CCB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47B6C05E" w14:textId="6A43D7D5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FEA03E" w14:textId="3B8918E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B564DBA" w14:textId="177F605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Benefits of ED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8F0C54A" w14:textId="0C9F11B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sz w:val="24"/>
                <w:szCs w:val="24"/>
              </w:rPr>
              <w:t>Benefits of 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CD974C" w14:textId="437F7BC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3242A3" w14:textId="310AA48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2E8D2308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16505150" w14:textId="1041B73D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4C1885" w14:textId="158DAA91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C557178" w14:textId="30448005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التشريعات البيئة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4EEE98D" w14:textId="273D5D2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التشريعات البيئة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82A1B5" w14:textId="0CBC72D0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8294A3" w14:textId="005736F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FB1345E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D24EF7C" w14:textId="031EECF5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0431B3" w14:textId="76D5432E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4F38F12" w14:textId="799B1FD6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التشريعات البيئة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EC486B8" w14:textId="4F214D00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التشريعات البيئة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71313C" w14:textId="348D502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7AB652" w14:textId="2CE3C29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35BA5BC5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9708591" w14:textId="2C15DC96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C0DF5F" w14:textId="6E7F38FD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E46153A" w14:textId="545E7454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التشريعات البيئة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1A94A7A" w14:textId="46A1A66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التشريعات البيئة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9B26A1" w14:textId="2C48EA05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25AF13" w14:textId="38AC4105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52EE13D9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28EB115B" w14:textId="169015FF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058A0D" w14:textId="21BA36B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88E0531" w14:textId="18772FF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اعداد تقرير الاثر البيئي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B69F4EE" w14:textId="5545BE3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اعداد تقرير الاثر البيئي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E616EA" w14:textId="0446935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0A01A7" w14:textId="434726D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3BA5740E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58B639E" w14:textId="5140576A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79782B" w14:textId="7FD237F0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03E64F" w14:textId="6BDF195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اعداد تقرير الاثر البيئي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AA732A0" w14:textId="68DCB08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اعداد تقرير الاثر البيئي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4DFA5E" w14:textId="228F3C0F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8AC49C" w14:textId="1BAA17FE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4E04DC1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782E385E" w14:textId="70D2393B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356CB4" w14:textId="3EB8DF22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C98074A" w14:textId="04F5A775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اعداد تقرير الاثر البيئي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F5C69D1" w14:textId="5F25DE4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اعداد تقرير الاثر البيئي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5438CB" w14:textId="6BFFE1E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136A42" w14:textId="676737D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5BA31F04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6D1D6CC7" w14:textId="7C0EA9D4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E30907" w14:textId="5554F96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CDE1966" w14:textId="59AF39D2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امثلة تطبيقية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F813F4F" w14:textId="324A20AE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امثلة تطبيقية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66B110" w14:textId="528ABF60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A373ED" w14:textId="7DD6721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4F0F645A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AD3FD0C" w14:textId="5FD3BD6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9F7C77" w14:textId="37F0233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E76C989" w14:textId="60D4828F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امثلة تطبيقية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E1E3A3F" w14:textId="53A18F80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امثلة تطبيقية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AD8CE7" w14:textId="2FDC98F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036A3C" w14:textId="26E402FF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28F669C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7C6C200B" w14:textId="3BFB48A1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1646F2" w14:textId="1284673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0ACA2FC" w14:textId="780AFC63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امثلة تطبيقية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9F554B1" w14:textId="5881487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امثلة تطبيقية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BEFE84" w14:textId="3CE54CCB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36E8D7" w14:textId="1453C948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223384A4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3ACFF29C" w14:textId="48544AFB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9B29D4" w14:textId="7C78D8E9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9A09E15" w14:textId="3785616D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مراجعة منهج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1DD4CF7" w14:textId="4CEDC027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مراجعة منهج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DE888E" w14:textId="43BFD466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298DD9" w14:textId="6D5D7E0F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22FD8343" w14:textId="77777777" w:rsidTr="004F4D8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408D0C8B" w14:textId="368C3974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2706BC" w14:textId="43264F5E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F4D83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A3A5D1F" w14:textId="72C5E9A6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C134DCB" w14:textId="2DA17F24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Exam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9C554A" w14:textId="31441FED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80CB20" w14:textId="36B9FA6A" w:rsidR="004F4D83" w:rsidRPr="004F4D83" w:rsidRDefault="004F4D83" w:rsidP="004F4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4F4D8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4F4D83" w:rsidRPr="004F4D83" w14:paraId="1A09C331" w14:textId="77777777" w:rsidTr="004F4D83">
        <w:trPr>
          <w:gridAfter w:val="5"/>
          <w:wAfter w:w="84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51246651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4F4D83" w:rsidRPr="004F4D83" w14:paraId="7A18AF0C" w14:textId="77777777" w:rsidTr="004F4D83">
        <w:trPr>
          <w:gridAfter w:val="5"/>
          <w:wAfter w:w="8460" w:type="dxa"/>
          <w:trHeight w:val="319"/>
        </w:trPr>
        <w:tc>
          <w:tcPr>
            <w:tcW w:w="1260" w:type="dxa"/>
            <w:shd w:val="clear" w:color="auto" w:fill="auto"/>
            <w:vAlign w:val="center"/>
          </w:tcPr>
          <w:p w14:paraId="2069135E" w14:textId="77777777" w:rsidR="004F4D83" w:rsidRPr="004F4D83" w:rsidRDefault="004F4D83" w:rsidP="004F4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14:paraId="6CD03B25" w14:textId="77777777"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14:paraId="6185DE34" w14:textId="77777777" w:rsidTr="0039297B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B79FA59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E5A98" w:rsidRPr="00CE5DB5" w14:paraId="7DA0B466" w14:textId="77777777" w:rsidTr="003E5A98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67AA61BB" w14:textId="77777777" w:rsidR="003E5A98" w:rsidRPr="00CE5DB5" w:rsidRDefault="003E5A98" w:rsidP="003E5A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762ED4A5" w14:textId="0B5BF79A" w:rsidR="003E5A98" w:rsidRPr="003E5A98" w:rsidRDefault="004F4D83" w:rsidP="004F4D83">
            <w:pPr>
              <w:bidi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F4D83">
              <w:rPr>
                <w:rFonts w:asciiTheme="majorBidi" w:hAnsiTheme="majorBidi" w:cstheme="majorBidi"/>
                <w:sz w:val="24"/>
                <w:szCs w:val="24"/>
              </w:rPr>
              <w:t>Environmental Management Systems Handbook for Refineries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F4D83">
              <w:rPr>
                <w:rFonts w:asciiTheme="majorBidi" w:hAnsiTheme="majorBidi" w:cstheme="majorBidi"/>
                <w:sz w:val="24"/>
                <w:szCs w:val="24"/>
              </w:rPr>
              <w:t>Polution</w:t>
            </w:r>
            <w:proofErr w:type="spellEnd"/>
            <w:r w:rsidRPr="004F4D83">
              <w:rPr>
                <w:rFonts w:asciiTheme="majorBidi" w:hAnsiTheme="majorBidi" w:cstheme="majorBidi"/>
                <w:sz w:val="24"/>
                <w:szCs w:val="24"/>
              </w:rPr>
              <w:t xml:space="preserve"> Prevention Through ISO 14001</w:t>
            </w:r>
            <w:r w:rsidRPr="004F4D83">
              <w:rPr>
                <w:rFonts w:asciiTheme="majorBidi" w:hAnsiTheme="majorBidi" w:cstheme="majorBidi"/>
                <w:sz w:val="24"/>
                <w:szCs w:val="24"/>
              </w:rPr>
              <w:t xml:space="preserve"> by </w:t>
            </w:r>
            <w:r w:rsidRPr="004F4D83">
              <w:rPr>
                <w:rFonts w:asciiTheme="majorBidi" w:hAnsiTheme="majorBidi" w:cstheme="majorBidi"/>
                <w:sz w:val="24"/>
                <w:szCs w:val="24"/>
              </w:rPr>
              <w:t>Nicholas Cheremisinoff</w:t>
            </w:r>
          </w:p>
        </w:tc>
      </w:tr>
      <w:tr w:rsidR="003E5A98" w:rsidRPr="00CE5DB5" w14:paraId="14E569BA" w14:textId="77777777" w:rsidTr="0039297B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1935B401" w14:textId="77777777" w:rsidR="003E5A98" w:rsidRPr="00CE5DB5" w:rsidRDefault="003E5A98" w:rsidP="003E5A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3C474316" w14:textId="525AB9F2" w:rsidR="003E5A98" w:rsidRPr="003E5A98" w:rsidRDefault="003E5A98" w:rsidP="006A03F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3E5A98" w:rsidRPr="00CE5DB5" w14:paraId="1EBA300F" w14:textId="77777777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015CA07" w14:textId="77777777" w:rsidR="003E5A98" w:rsidRPr="00CE5DB5" w:rsidRDefault="003E5A98" w:rsidP="003E5A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EF456FF" w14:textId="77777777" w:rsidR="003E5A98" w:rsidRPr="00CE5DB5" w:rsidRDefault="003E5A98" w:rsidP="003E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3E5A98" w:rsidRPr="00CE5DB5" w14:paraId="28A6E1A9" w14:textId="77777777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67D2647F" w14:textId="77777777" w:rsidR="003E5A98" w:rsidRPr="00CE5DB5" w:rsidRDefault="003E5A98" w:rsidP="003E5A9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0D664D0F" w14:textId="77777777" w:rsidR="003E5A98" w:rsidRPr="00CE5DB5" w:rsidRDefault="003E5A98" w:rsidP="003E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252BE67D" w14:textId="77777777"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14:paraId="56411373" w14:textId="77777777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203617F0" w14:textId="77777777"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14:paraId="5E829D3B" w14:textId="77777777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10C18401" w14:textId="2A565B8F" w:rsidR="004F4D83" w:rsidRPr="003178D1" w:rsidRDefault="00D11E61" w:rsidP="004F4D83">
            <w:pPr>
              <w:bidi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11E6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يمكن أن يركز التطوير على المزيد من التطبيقات </w:t>
            </w:r>
            <w:r w:rsidR="004F4D8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وادارة بيئية لمشاكل حقيقية لصناعة وطنية معينة لتطوير الصناعة من حيث تقليل كلفة الانتاج وتقليل الانبعاثات الضارة على البيئة</w:t>
            </w:r>
            <w:r w:rsidR="003E5A9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99404A3" w14:textId="7D9C5DEA" w:rsidR="00CE5DB5" w:rsidRPr="003178D1" w:rsidRDefault="00CE5DB5" w:rsidP="003E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3D6CD3B" w14:textId="77777777"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14:paraId="728C2061" w14:textId="77777777"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B139F"/>
    <w:multiLevelType w:val="hybridMultilevel"/>
    <w:tmpl w:val="BBF8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6071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D56CF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C546F8E"/>
    <w:multiLevelType w:val="hybridMultilevel"/>
    <w:tmpl w:val="DF0E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NzAwNTEyMzA0NrNQ0lEKTi0uzszPAykwqgUArRotJSwAAAA="/>
  </w:docVars>
  <w:rsids>
    <w:rsidRoot w:val="00F81A4A"/>
    <w:rsid w:val="00032232"/>
    <w:rsid w:val="00314544"/>
    <w:rsid w:val="003178D1"/>
    <w:rsid w:val="00335D25"/>
    <w:rsid w:val="003E5A98"/>
    <w:rsid w:val="0046237F"/>
    <w:rsid w:val="00462FC5"/>
    <w:rsid w:val="004D089B"/>
    <w:rsid w:val="004F4D83"/>
    <w:rsid w:val="005760C5"/>
    <w:rsid w:val="005B20C7"/>
    <w:rsid w:val="006865EA"/>
    <w:rsid w:val="006A03FB"/>
    <w:rsid w:val="00741C39"/>
    <w:rsid w:val="007C2036"/>
    <w:rsid w:val="0089370B"/>
    <w:rsid w:val="008D17C0"/>
    <w:rsid w:val="00956906"/>
    <w:rsid w:val="00996FD6"/>
    <w:rsid w:val="009F531C"/>
    <w:rsid w:val="00A11C41"/>
    <w:rsid w:val="00A35803"/>
    <w:rsid w:val="00AD6FC4"/>
    <w:rsid w:val="00B623B0"/>
    <w:rsid w:val="00BC07E4"/>
    <w:rsid w:val="00BC627D"/>
    <w:rsid w:val="00C151B4"/>
    <w:rsid w:val="00C33CBF"/>
    <w:rsid w:val="00CB2677"/>
    <w:rsid w:val="00CE5DB5"/>
    <w:rsid w:val="00D11E61"/>
    <w:rsid w:val="00D12FA3"/>
    <w:rsid w:val="00D30C35"/>
    <w:rsid w:val="00D404E7"/>
    <w:rsid w:val="00D9610D"/>
    <w:rsid w:val="00E039D9"/>
    <w:rsid w:val="00F17E65"/>
    <w:rsid w:val="00F81A4A"/>
    <w:rsid w:val="00F9422E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D26B"/>
  <w15:docId w15:val="{02B0DE58-EDE0-0F4C-9B0A-729C6C74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3B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9F5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A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Mohanad JASIM</cp:lastModifiedBy>
  <cp:revision>9</cp:revision>
  <cp:lastPrinted>2022-02-17T10:36:00Z</cp:lastPrinted>
  <dcterms:created xsi:type="dcterms:W3CDTF">2022-02-17T16:39:00Z</dcterms:created>
  <dcterms:modified xsi:type="dcterms:W3CDTF">2022-02-17T17:15:00Z</dcterms:modified>
</cp:coreProperties>
</file>