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F96C" w14:textId="77777777" w:rsidR="00D45A3F" w:rsidRPr="009C4C95" w:rsidRDefault="00D45A3F" w:rsidP="00D45A3F">
      <w:pPr>
        <w:bidi/>
        <w:jc w:val="center"/>
        <w:rPr>
          <w:rFonts w:cs="Arial"/>
          <w:b/>
          <w:bCs/>
          <w:sz w:val="32"/>
          <w:szCs w:val="32"/>
          <w:rtl/>
          <w:lang w:bidi="ar-IQ"/>
        </w:rPr>
      </w:pPr>
      <w:r w:rsidRPr="009C4C95">
        <w:rPr>
          <w:rFonts w:cs="Arial" w:hint="cs"/>
          <w:b/>
          <w:bCs/>
          <w:sz w:val="32"/>
          <w:szCs w:val="32"/>
          <w:rtl/>
          <w:lang w:bidi="ar-IQ"/>
        </w:rPr>
        <w:t>وصف البرنامج الأكاديمي</w:t>
      </w:r>
    </w:p>
    <w:p w14:paraId="172B6A85" w14:textId="77777777" w:rsidR="00D45A3F" w:rsidRDefault="00D45A3F" w:rsidP="00D45A3F">
      <w:pPr>
        <w:bidi/>
        <w:spacing w:line="240" w:lineRule="auto"/>
        <w:rPr>
          <w:rFonts w:cs="Arial"/>
          <w:sz w:val="28"/>
          <w:szCs w:val="28"/>
          <w:rtl/>
          <w:lang w:bidi="ar-IQ"/>
        </w:rPr>
      </w:pPr>
      <w:r w:rsidRPr="004C791A">
        <w:rPr>
          <w:rFonts w:cs="Arial"/>
          <w:sz w:val="28"/>
          <w:szCs w:val="28"/>
          <w:rtl/>
          <w:lang w:bidi="ar-IQ"/>
        </w:rPr>
        <w:t>يوفر وصف البرنامج الأكاديمي هذا ملخصا</w:t>
      </w:r>
      <w:r>
        <w:rPr>
          <w:rFonts w:cs="Arial" w:hint="cs"/>
          <w:sz w:val="28"/>
          <w:szCs w:val="28"/>
          <w:rtl/>
          <w:lang w:bidi="ar-IQ"/>
        </w:rPr>
        <w:t>ً</w:t>
      </w:r>
      <w:r w:rsidRPr="004C791A">
        <w:rPr>
          <w:rFonts w:cs="Arial"/>
          <w:sz w:val="28"/>
          <w:szCs w:val="28"/>
          <w:rtl/>
          <w:lang w:bidi="ar-IQ"/>
        </w:rPr>
        <w:t xml:space="preserve"> موجزا</w:t>
      </w:r>
      <w:r>
        <w:rPr>
          <w:rFonts w:cs="Arial" w:hint="cs"/>
          <w:sz w:val="28"/>
          <w:szCs w:val="28"/>
          <w:rtl/>
          <w:lang w:bidi="ar-IQ"/>
        </w:rPr>
        <w:t>ً</w:t>
      </w:r>
      <w:r w:rsidRPr="004C791A">
        <w:rPr>
          <w:rFonts w:cs="Arial"/>
          <w:sz w:val="28"/>
          <w:szCs w:val="28"/>
          <w:rtl/>
          <w:lang w:bidi="ar-IQ"/>
        </w:rPr>
        <w:t xml:space="preserve"> لخصائص البرنامج ومخرجات التعلم المتوقعة من</w:t>
      </w:r>
      <w:r>
        <w:rPr>
          <w:rFonts w:cs="Arial" w:hint="cs"/>
          <w:sz w:val="28"/>
          <w:szCs w:val="28"/>
          <w:rtl/>
          <w:lang w:bidi="ar-IQ"/>
        </w:rPr>
        <w:t xml:space="preserve"> </w:t>
      </w:r>
      <w:r w:rsidRPr="004C791A">
        <w:rPr>
          <w:rFonts w:cs="Arial"/>
          <w:sz w:val="28"/>
          <w:szCs w:val="28"/>
          <w:rtl/>
          <w:lang w:bidi="ar-IQ"/>
        </w:rPr>
        <w:t>الطالب تحقيقها مبرهنا</w:t>
      </w:r>
      <w:r>
        <w:rPr>
          <w:rFonts w:cs="Arial" w:hint="cs"/>
          <w:sz w:val="28"/>
          <w:szCs w:val="28"/>
          <w:rtl/>
          <w:lang w:bidi="ar-IQ"/>
        </w:rPr>
        <w:t>ً عما إذا كان قد حقق الإستفادة القصوى من</w:t>
      </w:r>
      <w:r w:rsidRPr="004C791A">
        <w:rPr>
          <w:rFonts w:cs="Arial"/>
          <w:sz w:val="28"/>
          <w:szCs w:val="28"/>
          <w:rtl/>
          <w:lang w:bidi="ar-IQ"/>
        </w:rPr>
        <w:t xml:space="preserve"> فرص التعلم المتاح</w:t>
      </w:r>
      <w:r>
        <w:rPr>
          <w:rFonts w:cs="Arial" w:hint="cs"/>
          <w:sz w:val="28"/>
          <w:szCs w:val="28"/>
          <w:rtl/>
          <w:lang w:bidi="ar-IQ"/>
        </w:rPr>
        <w:t xml:space="preserve">ة. ويصاحبه وصف </w:t>
      </w:r>
      <w:r w:rsidRPr="004C791A">
        <w:rPr>
          <w:rFonts w:cs="Arial"/>
          <w:sz w:val="28"/>
          <w:szCs w:val="28"/>
          <w:rtl/>
          <w:lang w:bidi="ar-IQ"/>
        </w:rPr>
        <w:t>لكل مقرر ضمن البرنامج الاكاديمي</w:t>
      </w:r>
      <w:r>
        <w:rPr>
          <w:rFonts w:cs="Arial" w:hint="cs"/>
          <w:sz w:val="28"/>
          <w:szCs w:val="28"/>
          <w:rtl/>
          <w:lang w:bidi="ar-IQ"/>
        </w:rPr>
        <w:t>.</w:t>
      </w:r>
    </w:p>
    <w:tbl>
      <w:tblPr>
        <w:tblStyle w:val="TableGrid"/>
        <w:bidiVisual/>
        <w:tblW w:w="0" w:type="auto"/>
        <w:tblLook w:val="04A0" w:firstRow="1" w:lastRow="0" w:firstColumn="1" w:lastColumn="0" w:noHBand="0" w:noVBand="1"/>
      </w:tblPr>
      <w:tblGrid>
        <w:gridCol w:w="4335"/>
        <w:gridCol w:w="4295"/>
      </w:tblGrid>
      <w:tr w:rsidR="00D45A3F" w14:paraId="3560C50D" w14:textId="77777777" w:rsidTr="00843614">
        <w:trPr>
          <w:trHeight w:val="432"/>
        </w:trPr>
        <w:tc>
          <w:tcPr>
            <w:tcW w:w="4788" w:type="dxa"/>
            <w:vAlign w:val="center"/>
          </w:tcPr>
          <w:p w14:paraId="77A23253"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المؤسسة التعليمية</w:t>
            </w:r>
          </w:p>
        </w:tc>
        <w:tc>
          <w:tcPr>
            <w:tcW w:w="4788" w:type="dxa"/>
            <w:vAlign w:val="center"/>
          </w:tcPr>
          <w:p w14:paraId="24719B55" w14:textId="77777777" w:rsidR="00D45A3F" w:rsidRDefault="00D45A3F" w:rsidP="00843614">
            <w:pPr>
              <w:bidi/>
              <w:rPr>
                <w:rFonts w:cs="Arial"/>
                <w:sz w:val="28"/>
                <w:szCs w:val="28"/>
                <w:rtl/>
                <w:lang w:bidi="ar-IQ"/>
              </w:rPr>
            </w:pPr>
            <w:r>
              <w:rPr>
                <w:rFonts w:cs="Arial" w:hint="cs"/>
                <w:sz w:val="28"/>
                <w:szCs w:val="28"/>
                <w:rtl/>
                <w:lang w:bidi="ar-IQ"/>
              </w:rPr>
              <w:t>كلية الهندسة / جامعة بغداد</w:t>
            </w:r>
          </w:p>
        </w:tc>
      </w:tr>
      <w:tr w:rsidR="00D45A3F" w14:paraId="6D38DFC9" w14:textId="77777777" w:rsidTr="00843614">
        <w:trPr>
          <w:trHeight w:val="432"/>
        </w:trPr>
        <w:tc>
          <w:tcPr>
            <w:tcW w:w="4788" w:type="dxa"/>
            <w:vAlign w:val="center"/>
          </w:tcPr>
          <w:p w14:paraId="5C744DE6"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القسم العلمي / المركز</w:t>
            </w:r>
          </w:p>
        </w:tc>
        <w:tc>
          <w:tcPr>
            <w:tcW w:w="4788" w:type="dxa"/>
            <w:vAlign w:val="center"/>
          </w:tcPr>
          <w:p w14:paraId="74DD6A03" w14:textId="77777777" w:rsidR="00D45A3F" w:rsidRDefault="00D45A3F" w:rsidP="00843614">
            <w:pPr>
              <w:bidi/>
              <w:rPr>
                <w:rFonts w:cs="Arial"/>
                <w:sz w:val="28"/>
                <w:szCs w:val="28"/>
                <w:rtl/>
                <w:lang w:bidi="ar-IQ"/>
              </w:rPr>
            </w:pPr>
            <w:r>
              <w:rPr>
                <w:rFonts w:cs="Arial" w:hint="cs"/>
                <w:sz w:val="28"/>
                <w:szCs w:val="28"/>
                <w:rtl/>
                <w:lang w:bidi="ar-IQ"/>
              </w:rPr>
              <w:t>قسم هندسة العمارة</w:t>
            </w:r>
          </w:p>
        </w:tc>
      </w:tr>
      <w:tr w:rsidR="00D45A3F" w14:paraId="763293BD" w14:textId="77777777" w:rsidTr="00843614">
        <w:trPr>
          <w:trHeight w:val="432"/>
        </w:trPr>
        <w:tc>
          <w:tcPr>
            <w:tcW w:w="4788" w:type="dxa"/>
            <w:vAlign w:val="center"/>
          </w:tcPr>
          <w:p w14:paraId="39EE1509"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اسم البرنامج الاكاديمي أو المهني</w:t>
            </w:r>
          </w:p>
        </w:tc>
        <w:tc>
          <w:tcPr>
            <w:tcW w:w="4788" w:type="dxa"/>
            <w:vAlign w:val="center"/>
          </w:tcPr>
          <w:p w14:paraId="7DA9CD36" w14:textId="77777777" w:rsidR="00D45A3F" w:rsidRDefault="00D45A3F" w:rsidP="00843614">
            <w:pPr>
              <w:bidi/>
              <w:rPr>
                <w:rFonts w:cs="Arial"/>
                <w:sz w:val="28"/>
                <w:szCs w:val="28"/>
                <w:rtl/>
                <w:lang w:bidi="ar-IQ"/>
              </w:rPr>
            </w:pPr>
            <w:r>
              <w:rPr>
                <w:rFonts w:cs="Arial" w:hint="cs"/>
                <w:sz w:val="28"/>
                <w:szCs w:val="28"/>
                <w:rtl/>
                <w:lang w:bidi="ar-IQ"/>
              </w:rPr>
              <w:t>هندسة عمارة</w:t>
            </w:r>
          </w:p>
        </w:tc>
      </w:tr>
      <w:tr w:rsidR="00D45A3F" w14:paraId="38940B43" w14:textId="77777777" w:rsidTr="00843614">
        <w:trPr>
          <w:trHeight w:val="432"/>
        </w:trPr>
        <w:tc>
          <w:tcPr>
            <w:tcW w:w="4788" w:type="dxa"/>
            <w:vAlign w:val="center"/>
          </w:tcPr>
          <w:p w14:paraId="0D5AB512"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اسم الشهادة النهائية</w:t>
            </w:r>
          </w:p>
        </w:tc>
        <w:tc>
          <w:tcPr>
            <w:tcW w:w="4788" w:type="dxa"/>
            <w:vAlign w:val="center"/>
          </w:tcPr>
          <w:p w14:paraId="6BE12D4E" w14:textId="77777777" w:rsidR="00D45A3F" w:rsidRDefault="00D45A3F" w:rsidP="00843614">
            <w:pPr>
              <w:bidi/>
              <w:rPr>
                <w:rFonts w:cs="Arial"/>
                <w:sz w:val="28"/>
                <w:szCs w:val="28"/>
                <w:rtl/>
                <w:lang w:bidi="ar-IQ"/>
              </w:rPr>
            </w:pPr>
            <w:r>
              <w:rPr>
                <w:rFonts w:cs="Arial" w:hint="cs"/>
                <w:sz w:val="28"/>
                <w:szCs w:val="28"/>
                <w:rtl/>
                <w:lang w:bidi="ar-IQ"/>
              </w:rPr>
              <w:t>بكالوريوس هندسة عمارة</w:t>
            </w:r>
          </w:p>
        </w:tc>
      </w:tr>
      <w:tr w:rsidR="00D45A3F" w14:paraId="66529841" w14:textId="77777777" w:rsidTr="00843614">
        <w:trPr>
          <w:trHeight w:val="432"/>
        </w:trPr>
        <w:tc>
          <w:tcPr>
            <w:tcW w:w="4788" w:type="dxa"/>
            <w:vAlign w:val="center"/>
          </w:tcPr>
          <w:p w14:paraId="2280E1FB"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النظام الدراسي: سنوي / مقررات / أخرى</w:t>
            </w:r>
          </w:p>
        </w:tc>
        <w:tc>
          <w:tcPr>
            <w:tcW w:w="4788" w:type="dxa"/>
            <w:vAlign w:val="center"/>
          </w:tcPr>
          <w:p w14:paraId="456A2F74" w14:textId="77777777" w:rsidR="00D45A3F" w:rsidRPr="004C791A" w:rsidRDefault="00D45A3F" w:rsidP="00843614">
            <w:pPr>
              <w:bidi/>
              <w:rPr>
                <w:rFonts w:cs="Arial"/>
                <w:sz w:val="28"/>
                <w:szCs w:val="28"/>
                <w:rtl/>
                <w:lang w:bidi="ar-IQ"/>
              </w:rPr>
            </w:pPr>
            <w:r w:rsidRPr="004C791A">
              <w:rPr>
                <w:rFonts w:cs="Arial"/>
                <w:sz w:val="28"/>
                <w:szCs w:val="28"/>
                <w:rtl/>
                <w:lang w:bidi="ar-IQ"/>
              </w:rPr>
              <w:t>سنوي بمعدل 30 اسبوع موزع</w:t>
            </w:r>
            <w:r>
              <w:rPr>
                <w:rFonts w:cs="Arial" w:hint="cs"/>
                <w:sz w:val="28"/>
                <w:szCs w:val="28"/>
                <w:rtl/>
                <w:lang w:bidi="ar-IQ"/>
              </w:rPr>
              <w:t>ة</w:t>
            </w:r>
            <w:r w:rsidRPr="004C791A">
              <w:rPr>
                <w:rFonts w:cs="Arial"/>
                <w:sz w:val="28"/>
                <w:szCs w:val="28"/>
                <w:rtl/>
                <w:lang w:bidi="ar-IQ"/>
              </w:rPr>
              <w:t xml:space="preserve"> على فصلين ويتم</w:t>
            </w:r>
          </w:p>
          <w:p w14:paraId="15AB43BE" w14:textId="77777777" w:rsidR="00D45A3F" w:rsidRDefault="00D45A3F" w:rsidP="00843614">
            <w:pPr>
              <w:bidi/>
              <w:rPr>
                <w:rFonts w:cs="Arial"/>
                <w:sz w:val="28"/>
                <w:szCs w:val="28"/>
                <w:rtl/>
                <w:lang w:bidi="ar-IQ"/>
              </w:rPr>
            </w:pPr>
            <w:r w:rsidRPr="004C791A">
              <w:rPr>
                <w:rFonts w:cs="Arial"/>
                <w:sz w:val="28"/>
                <w:szCs w:val="28"/>
                <w:rtl/>
                <w:lang w:bidi="ar-IQ"/>
              </w:rPr>
              <w:t>الاعتماد على حضور الطالب بشكل كلي ومتابعته للدروس وتواجده في</w:t>
            </w:r>
            <w:r>
              <w:rPr>
                <w:rFonts w:cs="Arial" w:hint="cs"/>
                <w:sz w:val="28"/>
                <w:szCs w:val="28"/>
                <w:rtl/>
                <w:lang w:bidi="ar-IQ"/>
              </w:rPr>
              <w:t xml:space="preserve"> </w:t>
            </w:r>
            <w:r w:rsidRPr="004C791A">
              <w:rPr>
                <w:rFonts w:cs="Arial"/>
                <w:sz w:val="28"/>
                <w:szCs w:val="28"/>
                <w:rtl/>
                <w:lang w:bidi="ar-IQ"/>
              </w:rPr>
              <w:t>الحرم الجامعي.</w:t>
            </w:r>
          </w:p>
        </w:tc>
      </w:tr>
      <w:tr w:rsidR="00D45A3F" w14:paraId="40989544" w14:textId="77777777" w:rsidTr="00843614">
        <w:trPr>
          <w:trHeight w:val="432"/>
        </w:trPr>
        <w:tc>
          <w:tcPr>
            <w:tcW w:w="4788" w:type="dxa"/>
            <w:vAlign w:val="center"/>
          </w:tcPr>
          <w:p w14:paraId="09A7D35A"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برنامج الاعتماد المعتمد</w:t>
            </w:r>
          </w:p>
        </w:tc>
        <w:tc>
          <w:tcPr>
            <w:tcW w:w="4788" w:type="dxa"/>
            <w:vAlign w:val="center"/>
          </w:tcPr>
          <w:p w14:paraId="0663E017" w14:textId="77777777" w:rsidR="00D45A3F" w:rsidRDefault="00D45A3F" w:rsidP="00843614">
            <w:pPr>
              <w:bidi/>
              <w:rPr>
                <w:rFonts w:cs="Arial"/>
                <w:sz w:val="28"/>
                <w:szCs w:val="28"/>
                <w:rtl/>
                <w:lang w:bidi="ar-IQ"/>
              </w:rPr>
            </w:pPr>
            <w:r>
              <w:rPr>
                <w:rFonts w:cs="Arial" w:hint="cs"/>
                <w:sz w:val="28"/>
                <w:szCs w:val="28"/>
                <w:rtl/>
                <w:lang w:bidi="ar-IQ"/>
              </w:rPr>
              <w:t>ليفربول</w:t>
            </w:r>
          </w:p>
        </w:tc>
      </w:tr>
      <w:tr w:rsidR="00D45A3F" w14:paraId="33ADCA88" w14:textId="77777777" w:rsidTr="00843614">
        <w:trPr>
          <w:trHeight w:val="432"/>
        </w:trPr>
        <w:tc>
          <w:tcPr>
            <w:tcW w:w="4788" w:type="dxa"/>
            <w:vAlign w:val="center"/>
          </w:tcPr>
          <w:p w14:paraId="38A33369"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المؤثرات الخارجية الأخرى</w:t>
            </w:r>
          </w:p>
        </w:tc>
        <w:tc>
          <w:tcPr>
            <w:tcW w:w="4788" w:type="dxa"/>
            <w:vAlign w:val="center"/>
          </w:tcPr>
          <w:p w14:paraId="67F81796" w14:textId="77777777" w:rsidR="00D45A3F" w:rsidRDefault="00D45A3F" w:rsidP="00843614">
            <w:pPr>
              <w:bidi/>
              <w:rPr>
                <w:rFonts w:cs="Arial"/>
                <w:sz w:val="28"/>
                <w:szCs w:val="28"/>
                <w:rtl/>
                <w:lang w:bidi="ar-IQ"/>
              </w:rPr>
            </w:pPr>
            <w:r>
              <w:rPr>
                <w:rFonts w:cs="Arial" w:hint="cs"/>
                <w:sz w:val="28"/>
                <w:szCs w:val="28"/>
                <w:rtl/>
                <w:lang w:bidi="ar-IQ"/>
              </w:rPr>
              <w:t>مجموعة الجامعات (أوربا الشرقية) والولايات المتحدة الأمريكية</w:t>
            </w:r>
          </w:p>
        </w:tc>
      </w:tr>
      <w:tr w:rsidR="00D45A3F" w14:paraId="35D0C9DE" w14:textId="77777777" w:rsidTr="00843614">
        <w:trPr>
          <w:trHeight w:val="432"/>
        </w:trPr>
        <w:tc>
          <w:tcPr>
            <w:tcW w:w="4788" w:type="dxa"/>
            <w:vAlign w:val="center"/>
          </w:tcPr>
          <w:p w14:paraId="2D3F929B" w14:textId="77777777" w:rsidR="00D45A3F" w:rsidRPr="004C791A" w:rsidRDefault="00D45A3F" w:rsidP="00D45A3F">
            <w:pPr>
              <w:pStyle w:val="ListParagraph"/>
              <w:numPr>
                <w:ilvl w:val="0"/>
                <w:numId w:val="1"/>
              </w:numPr>
              <w:bidi/>
              <w:spacing w:after="0" w:line="240" w:lineRule="auto"/>
              <w:ind w:left="451"/>
              <w:rPr>
                <w:rFonts w:cs="Arial"/>
                <w:sz w:val="28"/>
                <w:szCs w:val="28"/>
                <w:rtl/>
                <w:lang w:bidi="ar-IQ"/>
              </w:rPr>
            </w:pPr>
            <w:r>
              <w:rPr>
                <w:rFonts w:cs="Arial" w:hint="cs"/>
                <w:sz w:val="28"/>
                <w:szCs w:val="28"/>
                <w:rtl/>
                <w:lang w:bidi="ar-IQ"/>
              </w:rPr>
              <w:t>تاريخ إعداد الوصف</w:t>
            </w:r>
          </w:p>
        </w:tc>
        <w:tc>
          <w:tcPr>
            <w:tcW w:w="4788" w:type="dxa"/>
            <w:vAlign w:val="center"/>
          </w:tcPr>
          <w:p w14:paraId="7AE81DEB" w14:textId="77777777" w:rsidR="00D45A3F" w:rsidRDefault="00D45A3F" w:rsidP="00843614">
            <w:pPr>
              <w:bidi/>
              <w:rPr>
                <w:rFonts w:cs="Arial"/>
                <w:sz w:val="28"/>
                <w:szCs w:val="28"/>
                <w:rtl/>
                <w:lang w:bidi="ar-IQ"/>
              </w:rPr>
            </w:pPr>
            <w:r>
              <w:rPr>
                <w:rFonts w:cs="Arial" w:hint="cs"/>
                <w:sz w:val="28"/>
                <w:szCs w:val="28"/>
                <w:rtl/>
                <w:lang w:bidi="ar-IQ"/>
              </w:rPr>
              <w:t>2023</w:t>
            </w:r>
          </w:p>
        </w:tc>
      </w:tr>
      <w:tr w:rsidR="00D45A3F" w14:paraId="2BB3719B" w14:textId="77777777" w:rsidTr="00843614">
        <w:trPr>
          <w:trHeight w:val="432"/>
        </w:trPr>
        <w:tc>
          <w:tcPr>
            <w:tcW w:w="9576" w:type="dxa"/>
            <w:gridSpan w:val="2"/>
            <w:shd w:val="clear" w:color="auto" w:fill="D9D9D9" w:themeFill="background1" w:themeFillShade="D9"/>
            <w:vAlign w:val="center"/>
          </w:tcPr>
          <w:p w14:paraId="25DD091D" w14:textId="77777777" w:rsidR="00D45A3F" w:rsidRPr="00674780" w:rsidRDefault="00D45A3F" w:rsidP="00D45A3F">
            <w:pPr>
              <w:pStyle w:val="ListParagraph"/>
              <w:numPr>
                <w:ilvl w:val="0"/>
                <w:numId w:val="1"/>
              </w:numPr>
              <w:tabs>
                <w:tab w:val="right" w:pos="541"/>
              </w:tabs>
              <w:bidi/>
              <w:spacing w:after="0" w:line="240" w:lineRule="auto"/>
              <w:ind w:left="451"/>
              <w:rPr>
                <w:rFonts w:cs="Arial"/>
                <w:sz w:val="28"/>
                <w:szCs w:val="28"/>
                <w:rtl/>
                <w:lang w:bidi="ar-IQ"/>
              </w:rPr>
            </w:pPr>
            <w:r w:rsidRPr="00674780">
              <w:rPr>
                <w:rFonts w:cs="Arial"/>
                <w:sz w:val="28"/>
                <w:szCs w:val="28"/>
                <w:rtl/>
                <w:lang w:bidi="ar-IQ"/>
              </w:rPr>
              <w:tab/>
              <w:t>أهداف البرنامج الأكاديمي</w:t>
            </w:r>
          </w:p>
        </w:tc>
      </w:tr>
      <w:tr w:rsidR="00D45A3F" w14:paraId="4DC89534" w14:textId="77777777" w:rsidTr="00843614">
        <w:trPr>
          <w:trHeight w:val="800"/>
        </w:trPr>
        <w:tc>
          <w:tcPr>
            <w:tcW w:w="9576" w:type="dxa"/>
            <w:gridSpan w:val="2"/>
            <w:vAlign w:val="center"/>
          </w:tcPr>
          <w:p w14:paraId="1E1A1982" w14:textId="77777777" w:rsidR="00D45A3F" w:rsidRPr="00487878" w:rsidRDefault="00D45A3F" w:rsidP="00D45A3F">
            <w:pPr>
              <w:pStyle w:val="ListParagraph"/>
              <w:numPr>
                <w:ilvl w:val="0"/>
                <w:numId w:val="2"/>
              </w:numPr>
              <w:bidi/>
              <w:spacing w:after="0" w:line="240" w:lineRule="auto"/>
              <w:jc w:val="lowKashida"/>
              <w:rPr>
                <w:rFonts w:cs="Arial"/>
                <w:sz w:val="28"/>
                <w:szCs w:val="28"/>
                <w:rtl/>
                <w:lang w:bidi="ar-IQ"/>
              </w:rPr>
            </w:pPr>
            <w:r w:rsidRPr="00487878">
              <w:rPr>
                <w:rFonts w:cs="Arial" w:hint="cs"/>
                <w:sz w:val="28"/>
                <w:szCs w:val="28"/>
                <w:rtl/>
                <w:lang w:bidi="ar-IQ"/>
              </w:rPr>
              <w:t xml:space="preserve">الأهداف العامة: </w:t>
            </w:r>
          </w:p>
          <w:p w14:paraId="6A514DAA" w14:textId="77777777" w:rsidR="00D45A3F" w:rsidRDefault="00D45A3F" w:rsidP="00843614">
            <w:pPr>
              <w:bidi/>
              <w:jc w:val="lowKashida"/>
              <w:rPr>
                <w:rFonts w:cs="Arial"/>
                <w:sz w:val="28"/>
                <w:szCs w:val="28"/>
                <w:rtl/>
                <w:lang w:bidi="ar-IQ"/>
              </w:rPr>
            </w:pPr>
            <w:r w:rsidRPr="00487878">
              <w:rPr>
                <w:rFonts w:cs="Arial"/>
                <w:sz w:val="28"/>
                <w:szCs w:val="28"/>
                <w:rtl/>
                <w:lang w:bidi="ar-IQ"/>
              </w:rPr>
              <w:t>إنشاء قاعدة علمية تتضمن الملاكات العلمية المتميزة والتقنيات الحديثة لتنمية المهارات الفكرية والإبداعية للطلاب والباحثين والمهنيين في العراق، وتحقيق أهداف العراق الجديدة وتعزيز التقدم العلمي والتكنولوجي والاقتصادي.</w:t>
            </w:r>
            <w:r>
              <w:rPr>
                <w:rFonts w:cs="Arial" w:hint="cs"/>
                <w:sz w:val="28"/>
                <w:szCs w:val="28"/>
                <w:rtl/>
                <w:lang w:bidi="ar-IQ"/>
              </w:rPr>
              <w:t xml:space="preserve"> </w:t>
            </w:r>
          </w:p>
          <w:p w14:paraId="4C1D70DD" w14:textId="77777777" w:rsidR="00D45A3F" w:rsidRDefault="00D45A3F" w:rsidP="00843614">
            <w:pPr>
              <w:bidi/>
              <w:jc w:val="lowKashida"/>
              <w:rPr>
                <w:rFonts w:cs="Arial"/>
                <w:sz w:val="28"/>
                <w:szCs w:val="28"/>
                <w:rtl/>
                <w:lang w:bidi="ar-IQ"/>
              </w:rPr>
            </w:pPr>
          </w:p>
          <w:p w14:paraId="207F9CAA" w14:textId="77777777" w:rsidR="00D45A3F" w:rsidRDefault="00D45A3F" w:rsidP="00D45A3F">
            <w:pPr>
              <w:pStyle w:val="ListParagraph"/>
              <w:numPr>
                <w:ilvl w:val="0"/>
                <w:numId w:val="3"/>
              </w:numPr>
              <w:bidi/>
              <w:spacing w:after="0" w:line="240" w:lineRule="auto"/>
              <w:jc w:val="lowKashida"/>
              <w:rPr>
                <w:rFonts w:cs="Arial"/>
                <w:sz w:val="28"/>
                <w:szCs w:val="28"/>
                <w:lang w:bidi="ar-IQ"/>
              </w:rPr>
            </w:pPr>
            <w:r w:rsidRPr="00487878">
              <w:rPr>
                <w:rFonts w:cs="Arial" w:hint="cs"/>
                <w:sz w:val="28"/>
                <w:szCs w:val="28"/>
                <w:rtl/>
                <w:lang w:bidi="ar-IQ"/>
              </w:rPr>
              <w:t>ي</w:t>
            </w:r>
            <w:r w:rsidRPr="00487878">
              <w:rPr>
                <w:rFonts w:cs="Arial"/>
                <w:sz w:val="28"/>
                <w:szCs w:val="28"/>
                <w:rtl/>
                <w:lang w:bidi="ar-IQ"/>
              </w:rPr>
              <w:t>هدف قسم هندسة العمارة إلى تأهيل الخريجين للقيام بالأدوار الخاصة بهم في بناء وتطوير الوطن، من خلال تعزيز المفاهيم الوطنية والأخلاقية المرتبطة بتراث وخصوصية الأمة، وتطبيق هذه المفاهيم في الممارسة الفعلية للعمل الهندسي. كما تهدف إلى تنمية روح الصمود والابتكار والتجديد في إعادة الإعمار، وتعزيز القيم المعمارية العراقية من خلال الاستفادة من التطورات العالمية في مجال العمارة.</w:t>
            </w:r>
          </w:p>
          <w:p w14:paraId="5AA9D915" w14:textId="77777777" w:rsidR="00D45A3F" w:rsidRPr="00674780" w:rsidRDefault="00D45A3F" w:rsidP="00D45A3F">
            <w:pPr>
              <w:pStyle w:val="ListParagraph"/>
              <w:numPr>
                <w:ilvl w:val="0"/>
                <w:numId w:val="3"/>
              </w:numPr>
              <w:bidi/>
              <w:spacing w:after="0" w:line="240" w:lineRule="auto"/>
              <w:jc w:val="lowKashida"/>
              <w:rPr>
                <w:rFonts w:cs="Arial"/>
                <w:sz w:val="28"/>
                <w:szCs w:val="28"/>
                <w:rtl/>
                <w:lang w:bidi="ar-IQ"/>
              </w:rPr>
            </w:pPr>
            <w:r w:rsidRPr="00487878">
              <w:rPr>
                <w:rFonts w:cs="Arial"/>
                <w:sz w:val="28"/>
                <w:szCs w:val="28"/>
                <w:rtl/>
                <w:lang w:bidi="ar-IQ"/>
              </w:rPr>
              <w:lastRenderedPageBreak/>
              <w:t>يهدف قسم هندسة العمارة إلى تعزيز روح المثابرة والاستمرار في تطوير الدور الخاص بهم من خلال إجراء البحوث والدراسات العلمية والميدانية الرصينة، والاستعداد لاستكمال الدراسات العليا (الماجستير والدكتوراه) لتعزيز القاعدة المعلوماتية بانتماء روحي ووطني عالٍ</w:t>
            </w:r>
            <w:r>
              <w:rPr>
                <w:rFonts w:cs="Arial" w:hint="cs"/>
                <w:sz w:val="28"/>
                <w:szCs w:val="28"/>
                <w:rtl/>
                <w:lang w:bidi="ar-IQ"/>
              </w:rPr>
              <w:t>.</w:t>
            </w:r>
          </w:p>
          <w:p w14:paraId="40F9E4BA" w14:textId="77777777" w:rsidR="00D45A3F" w:rsidRPr="00674780" w:rsidRDefault="00D45A3F" w:rsidP="00843614">
            <w:pPr>
              <w:bidi/>
              <w:rPr>
                <w:rFonts w:cs="Arial"/>
                <w:sz w:val="28"/>
                <w:szCs w:val="28"/>
                <w:rtl/>
                <w:lang w:bidi="ar-IQ"/>
              </w:rPr>
            </w:pPr>
          </w:p>
        </w:tc>
      </w:tr>
    </w:tbl>
    <w:p w14:paraId="2310B95E" w14:textId="77777777" w:rsidR="00D45A3F" w:rsidRDefault="00D45A3F" w:rsidP="00D45A3F">
      <w:pPr>
        <w:bidi/>
        <w:rPr>
          <w:rtl/>
        </w:rPr>
      </w:pPr>
    </w:p>
    <w:p w14:paraId="53A41DF1" w14:textId="77777777" w:rsidR="00D45A3F" w:rsidRDefault="00D45A3F" w:rsidP="00D45A3F">
      <w:pPr>
        <w:bidi/>
        <w:rPr>
          <w:rtl/>
        </w:rPr>
      </w:pPr>
    </w:p>
    <w:p w14:paraId="5A1D9BBD" w14:textId="77777777" w:rsidR="00D45A3F" w:rsidRDefault="00D45A3F" w:rsidP="00D45A3F">
      <w:pPr>
        <w:bidi/>
      </w:pPr>
    </w:p>
    <w:tbl>
      <w:tblPr>
        <w:tblStyle w:val="TableGrid"/>
        <w:bidiVisual/>
        <w:tblW w:w="0" w:type="auto"/>
        <w:tblLook w:val="04A0" w:firstRow="1" w:lastRow="0" w:firstColumn="1" w:lastColumn="0" w:noHBand="0" w:noVBand="1"/>
      </w:tblPr>
      <w:tblGrid>
        <w:gridCol w:w="8630"/>
      </w:tblGrid>
      <w:tr w:rsidR="00D45A3F" w14:paraId="6F31C72B" w14:textId="77777777" w:rsidTr="00843614">
        <w:trPr>
          <w:trHeight w:val="800"/>
        </w:trPr>
        <w:tc>
          <w:tcPr>
            <w:tcW w:w="9576" w:type="dxa"/>
            <w:vAlign w:val="center"/>
          </w:tcPr>
          <w:p w14:paraId="3CEC7ECC" w14:textId="77777777" w:rsidR="00D45A3F" w:rsidRDefault="00D45A3F" w:rsidP="00D45A3F">
            <w:pPr>
              <w:pStyle w:val="ListParagraph"/>
              <w:numPr>
                <w:ilvl w:val="0"/>
                <w:numId w:val="2"/>
              </w:numPr>
              <w:bidi/>
              <w:spacing w:after="0" w:line="240" w:lineRule="auto"/>
              <w:jc w:val="lowKashida"/>
              <w:rPr>
                <w:rFonts w:cs="Arial"/>
                <w:sz w:val="28"/>
                <w:szCs w:val="28"/>
                <w:lang w:bidi="ar-IQ"/>
              </w:rPr>
            </w:pPr>
            <w:r>
              <w:rPr>
                <w:rFonts w:cs="Arial" w:hint="cs"/>
                <w:sz w:val="28"/>
                <w:szCs w:val="28"/>
                <w:rtl/>
                <w:lang w:bidi="ar-IQ"/>
              </w:rPr>
              <w:t>الأهداف الخاصة</w:t>
            </w:r>
          </w:p>
          <w:p w14:paraId="57C9297B" w14:textId="77777777" w:rsidR="00D45A3F" w:rsidRPr="00674780" w:rsidRDefault="00D45A3F" w:rsidP="00843614">
            <w:pPr>
              <w:bidi/>
              <w:jc w:val="lowKashida"/>
              <w:rPr>
                <w:rFonts w:cs="Arial"/>
                <w:sz w:val="12"/>
                <w:szCs w:val="12"/>
                <w:lang w:bidi="ar-IQ"/>
              </w:rPr>
            </w:pPr>
          </w:p>
          <w:p w14:paraId="5B493790" w14:textId="77777777" w:rsidR="00D45A3F" w:rsidRPr="00674780" w:rsidRDefault="00D45A3F" w:rsidP="00D45A3F">
            <w:pPr>
              <w:pStyle w:val="ListParagraph"/>
              <w:numPr>
                <w:ilvl w:val="0"/>
                <w:numId w:val="4"/>
              </w:numPr>
              <w:bidi/>
              <w:spacing w:after="0" w:line="240" w:lineRule="auto"/>
              <w:jc w:val="lowKashida"/>
              <w:rPr>
                <w:rFonts w:cs="Arial"/>
                <w:sz w:val="28"/>
                <w:szCs w:val="28"/>
                <w:lang w:bidi="ar-IQ"/>
              </w:rPr>
            </w:pPr>
            <w:r w:rsidRPr="00674780">
              <w:rPr>
                <w:rFonts w:cs="Arial"/>
                <w:sz w:val="28"/>
                <w:szCs w:val="28"/>
                <w:rtl/>
                <w:lang w:bidi="ar-IQ"/>
              </w:rPr>
              <w:t>تهيئة الطلاب للممارسة المهنية كمهندسين معماريين، من خلال تزويدهم بالمعرفة والمهارات اللازمة لتصميم المباني والفضاءات التي تلبي احتياجات العملاء والمستخدمين، بالإضافة إلى متطلبات القوانين واللوائح المحلية للبناء.</w:t>
            </w:r>
          </w:p>
          <w:p w14:paraId="22E56E06" w14:textId="77777777" w:rsidR="00D45A3F" w:rsidRPr="00674780" w:rsidRDefault="00D45A3F" w:rsidP="00D45A3F">
            <w:pPr>
              <w:pStyle w:val="ListParagraph"/>
              <w:numPr>
                <w:ilvl w:val="0"/>
                <w:numId w:val="4"/>
              </w:numPr>
              <w:bidi/>
              <w:spacing w:after="0" w:line="240" w:lineRule="auto"/>
              <w:jc w:val="lowKashida"/>
              <w:rPr>
                <w:rFonts w:cs="Arial"/>
                <w:sz w:val="28"/>
                <w:szCs w:val="28"/>
                <w:lang w:bidi="ar-IQ"/>
              </w:rPr>
            </w:pPr>
            <w:r w:rsidRPr="00674780">
              <w:rPr>
                <w:rFonts w:cs="Arial"/>
                <w:sz w:val="28"/>
                <w:szCs w:val="28"/>
                <w:rtl/>
                <w:lang w:bidi="ar-IQ"/>
              </w:rPr>
              <w:t>وضع مناهج شاملة تغطي الجوانب النظرية والعملية للعمارة وتوفر للطلاب تعليمًا شاملا</w:t>
            </w:r>
            <w:r>
              <w:rPr>
                <w:rFonts w:cs="Arial" w:hint="cs"/>
                <w:sz w:val="28"/>
                <w:szCs w:val="28"/>
                <w:rtl/>
                <w:lang w:bidi="ar-IQ"/>
              </w:rPr>
              <w:t>ً</w:t>
            </w:r>
            <w:r w:rsidRPr="00674780">
              <w:rPr>
                <w:rFonts w:cs="Arial"/>
                <w:sz w:val="28"/>
                <w:szCs w:val="28"/>
                <w:rtl/>
                <w:lang w:bidi="ar-IQ"/>
              </w:rPr>
              <w:t>.</w:t>
            </w:r>
          </w:p>
          <w:p w14:paraId="56BAA66F" w14:textId="77777777" w:rsidR="00D45A3F" w:rsidRPr="00674780" w:rsidRDefault="00D45A3F" w:rsidP="00D45A3F">
            <w:pPr>
              <w:pStyle w:val="ListParagraph"/>
              <w:numPr>
                <w:ilvl w:val="0"/>
                <w:numId w:val="4"/>
              </w:numPr>
              <w:bidi/>
              <w:spacing w:after="0" w:line="240" w:lineRule="auto"/>
              <w:jc w:val="lowKashida"/>
              <w:rPr>
                <w:rFonts w:cs="Arial"/>
                <w:sz w:val="28"/>
                <w:szCs w:val="28"/>
                <w:lang w:bidi="ar-IQ"/>
              </w:rPr>
            </w:pPr>
            <w:r w:rsidRPr="00674780">
              <w:rPr>
                <w:rFonts w:cs="Arial"/>
                <w:sz w:val="28"/>
                <w:szCs w:val="28"/>
                <w:rtl/>
                <w:lang w:bidi="ar-IQ"/>
              </w:rPr>
              <w:t>التفاعل مع المجتمعات المحلية والمهندسين المعماريين والبنائين، لفهم التقاليد المعمارية والاحتياجات والتحديات المحلية وتصميم المباني والفضاءات التي تستجيب لهذه العوامل.</w:t>
            </w:r>
          </w:p>
          <w:p w14:paraId="518FCA63" w14:textId="77777777" w:rsidR="00D45A3F" w:rsidRPr="00674780" w:rsidRDefault="00D45A3F" w:rsidP="00D45A3F">
            <w:pPr>
              <w:pStyle w:val="ListParagraph"/>
              <w:numPr>
                <w:ilvl w:val="0"/>
                <w:numId w:val="4"/>
              </w:numPr>
              <w:bidi/>
              <w:spacing w:after="0" w:line="240" w:lineRule="auto"/>
              <w:jc w:val="lowKashida"/>
              <w:rPr>
                <w:rFonts w:cs="Arial"/>
                <w:sz w:val="28"/>
                <w:szCs w:val="28"/>
                <w:lang w:bidi="ar-IQ"/>
              </w:rPr>
            </w:pPr>
            <w:r w:rsidRPr="00674780">
              <w:rPr>
                <w:rFonts w:cs="Arial"/>
                <w:sz w:val="28"/>
                <w:szCs w:val="28"/>
                <w:rtl/>
                <w:lang w:bidi="ar-IQ"/>
              </w:rPr>
              <w:t>تعزيز المعرفة في مجال العمارة من خلال البحث والتجريب واستكشاف التصميم، عن طريق تشجيع أعضاء هيئة التدريس والطلاب على المشاركة في البحوث والأنشطة العلمية.</w:t>
            </w:r>
          </w:p>
          <w:p w14:paraId="14541E8B" w14:textId="77777777" w:rsidR="00D45A3F" w:rsidRPr="00674780" w:rsidRDefault="00D45A3F" w:rsidP="00D45A3F">
            <w:pPr>
              <w:pStyle w:val="ListParagraph"/>
              <w:numPr>
                <w:ilvl w:val="0"/>
                <w:numId w:val="4"/>
              </w:numPr>
              <w:bidi/>
              <w:spacing w:after="0" w:line="240" w:lineRule="auto"/>
              <w:jc w:val="lowKashida"/>
              <w:rPr>
                <w:rFonts w:cs="Arial"/>
                <w:sz w:val="28"/>
                <w:szCs w:val="28"/>
                <w:lang w:bidi="ar-IQ"/>
              </w:rPr>
            </w:pPr>
            <w:r w:rsidRPr="00674780">
              <w:rPr>
                <w:rFonts w:cs="Arial"/>
                <w:sz w:val="28"/>
                <w:szCs w:val="28"/>
                <w:rtl/>
                <w:lang w:bidi="ar-IQ"/>
              </w:rPr>
              <w:t>تعزيز الاستدامة في تصميم وبناء المباني، عن طريق تشجيع استخدام المواد والتقنيات المستدامة وتصميم المباني والفضاءات التي تكون فعالة من حيث استخدام الطاقة والمسؤولية البيئية.</w:t>
            </w:r>
          </w:p>
          <w:p w14:paraId="7A248785" w14:textId="77777777" w:rsidR="00D45A3F" w:rsidRDefault="00D45A3F" w:rsidP="00D45A3F">
            <w:pPr>
              <w:pStyle w:val="ListParagraph"/>
              <w:numPr>
                <w:ilvl w:val="0"/>
                <w:numId w:val="4"/>
              </w:numPr>
              <w:bidi/>
              <w:spacing w:after="0" w:line="240" w:lineRule="auto"/>
              <w:jc w:val="lowKashida"/>
              <w:rPr>
                <w:rFonts w:cs="Arial"/>
                <w:sz w:val="28"/>
                <w:szCs w:val="28"/>
                <w:lang w:bidi="ar-IQ"/>
              </w:rPr>
            </w:pPr>
            <w:r w:rsidRPr="00674780">
              <w:rPr>
                <w:rFonts w:cs="Arial"/>
                <w:sz w:val="28"/>
                <w:szCs w:val="28"/>
                <w:rtl/>
                <w:lang w:bidi="ar-IQ"/>
              </w:rPr>
              <w:t>التركيز على الهوية الثقافية والتنوع في التصميم المعماري، وتعزيز التصاميم التي تحترم وتحتفل بالتقاليد المحلية والتاريخ والهوية الثقافية.</w:t>
            </w:r>
          </w:p>
          <w:p w14:paraId="666FEF07" w14:textId="77777777" w:rsidR="00D45A3F" w:rsidRPr="00674780" w:rsidRDefault="00D45A3F" w:rsidP="00D45A3F">
            <w:pPr>
              <w:pStyle w:val="ListParagraph"/>
              <w:numPr>
                <w:ilvl w:val="0"/>
                <w:numId w:val="4"/>
              </w:numPr>
              <w:bidi/>
              <w:spacing w:after="0" w:line="240" w:lineRule="auto"/>
              <w:jc w:val="lowKashida"/>
              <w:rPr>
                <w:rFonts w:cs="Arial"/>
                <w:sz w:val="28"/>
                <w:szCs w:val="28"/>
                <w:rtl/>
                <w:lang w:bidi="ar-IQ"/>
              </w:rPr>
            </w:pPr>
            <w:r w:rsidRPr="00674780">
              <w:rPr>
                <w:rFonts w:cs="Arial"/>
                <w:sz w:val="28"/>
                <w:szCs w:val="28"/>
                <w:rtl/>
                <w:lang w:bidi="ar-IQ"/>
              </w:rPr>
              <w:t>تدريب الطلاب على استخدام برامج الحاسوب التي تتيح لهم إنشاء نماذج مفصلة ثنائية وثلاثية الأبعاد لتصاميمهم، والعمل بكفاءة أكبر، والتعاون مع الزملاء والعملاء والمقاولين، وتصميم المباني المستدامة، وتقليل التكاليف</w:t>
            </w:r>
            <w:r>
              <w:rPr>
                <w:rFonts w:cs="Arial" w:hint="cs"/>
                <w:sz w:val="28"/>
                <w:szCs w:val="28"/>
                <w:rtl/>
                <w:lang w:bidi="ar-IQ"/>
              </w:rPr>
              <w:t>.</w:t>
            </w:r>
          </w:p>
        </w:tc>
      </w:tr>
    </w:tbl>
    <w:p w14:paraId="013BA001" w14:textId="77777777" w:rsidR="0076524F" w:rsidRDefault="0076524F"/>
    <w:sectPr w:rsidR="007652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01D"/>
    <w:multiLevelType w:val="hybridMultilevel"/>
    <w:tmpl w:val="B6660A96"/>
    <w:lvl w:ilvl="0" w:tplc="AF862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C55CF"/>
    <w:multiLevelType w:val="hybridMultilevel"/>
    <w:tmpl w:val="3CC6F6AE"/>
    <w:lvl w:ilvl="0" w:tplc="027C9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D016E"/>
    <w:multiLevelType w:val="hybridMultilevel"/>
    <w:tmpl w:val="82D2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A3C3E"/>
    <w:multiLevelType w:val="hybridMultilevel"/>
    <w:tmpl w:val="13C0ED4E"/>
    <w:lvl w:ilvl="0" w:tplc="9A9A98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66389">
    <w:abstractNumId w:val="2"/>
  </w:num>
  <w:num w:numId="2" w16cid:durableId="496965354">
    <w:abstractNumId w:val="3"/>
  </w:num>
  <w:num w:numId="3" w16cid:durableId="1161583202">
    <w:abstractNumId w:val="1"/>
  </w:num>
  <w:num w:numId="4" w16cid:durableId="94431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03"/>
    <w:rsid w:val="00753603"/>
    <w:rsid w:val="0076524F"/>
    <w:rsid w:val="00D45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18830-BD73-4437-892A-BE2591E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3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3F"/>
    <w:pPr>
      <w:ind w:left="720"/>
      <w:contextualSpacing/>
    </w:pPr>
  </w:style>
  <w:style w:type="table" w:styleId="TableGrid">
    <w:name w:val="Table Grid"/>
    <w:basedOn w:val="TableNormal"/>
    <w:uiPriority w:val="59"/>
    <w:rsid w:val="00D45A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COENG</dc:creator>
  <cp:keywords/>
  <dc:description/>
  <cp:lastModifiedBy>COENG</cp:lastModifiedBy>
  <cp:revision>2</cp:revision>
  <dcterms:created xsi:type="dcterms:W3CDTF">2023-04-30T09:44:00Z</dcterms:created>
  <dcterms:modified xsi:type="dcterms:W3CDTF">2023-04-30T09:45:00Z</dcterms:modified>
</cp:coreProperties>
</file>